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976AAF" w14:textId="77777777" w:rsidR="00792960" w:rsidRDefault="00792960" w:rsidP="00792960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  <w:t>Bod č. Zastupiteľstvo Bratislavského samosprávneho kraja</w:t>
      </w:r>
    </w:p>
    <w:p w14:paraId="4CE4ACDE" w14:textId="77777777" w:rsidR="00792960" w:rsidRPr="00826D24" w:rsidRDefault="00792960" w:rsidP="00792960">
      <w:pPr>
        <w:jc w:val="center"/>
        <w:rPr>
          <w:rFonts w:ascii="Arial" w:hAnsi="Arial" w:cs="Arial"/>
          <w:sz w:val="20"/>
          <w:szCs w:val="20"/>
        </w:rPr>
      </w:pPr>
    </w:p>
    <w:p w14:paraId="7BC88CB3" w14:textId="77777777" w:rsidR="00792960" w:rsidRPr="00826D24" w:rsidRDefault="00792960" w:rsidP="00792960">
      <w:pPr>
        <w:rPr>
          <w:rFonts w:ascii="Arial" w:hAnsi="Arial" w:cs="Arial"/>
          <w:sz w:val="22"/>
          <w:szCs w:val="22"/>
        </w:rPr>
      </w:pPr>
    </w:p>
    <w:p w14:paraId="57CA96E0" w14:textId="77777777" w:rsidR="00792960" w:rsidRPr="00826D24" w:rsidRDefault="00792960" w:rsidP="00792960">
      <w:pPr>
        <w:rPr>
          <w:rFonts w:ascii="Arial" w:hAnsi="Arial" w:cs="Arial"/>
          <w:sz w:val="22"/>
          <w:szCs w:val="22"/>
        </w:rPr>
      </w:pPr>
    </w:p>
    <w:p w14:paraId="120B064A" w14:textId="77777777" w:rsidR="00792960" w:rsidRPr="00826D24" w:rsidRDefault="00792960" w:rsidP="00792960">
      <w:pPr>
        <w:rPr>
          <w:rFonts w:ascii="Arial" w:hAnsi="Arial" w:cs="Arial"/>
          <w:sz w:val="22"/>
          <w:szCs w:val="22"/>
        </w:rPr>
      </w:pPr>
      <w:r w:rsidRPr="00826D24">
        <w:rPr>
          <w:rFonts w:ascii="Arial" w:hAnsi="Arial" w:cs="Arial"/>
          <w:sz w:val="22"/>
          <w:szCs w:val="22"/>
        </w:rPr>
        <w:t>Materiál na rokovanie Zastupiteľstva</w:t>
      </w:r>
    </w:p>
    <w:p w14:paraId="4BFD0279" w14:textId="77777777" w:rsidR="00792960" w:rsidRPr="00826D24" w:rsidRDefault="00792960" w:rsidP="00792960">
      <w:pPr>
        <w:rPr>
          <w:rFonts w:ascii="Arial" w:hAnsi="Arial" w:cs="Arial"/>
          <w:sz w:val="22"/>
          <w:szCs w:val="22"/>
        </w:rPr>
      </w:pPr>
      <w:r w:rsidRPr="00826D24">
        <w:rPr>
          <w:rFonts w:ascii="Arial" w:hAnsi="Arial" w:cs="Arial"/>
          <w:sz w:val="22"/>
          <w:szCs w:val="22"/>
        </w:rPr>
        <w:t>Bratislavského samosprávneho kraja</w:t>
      </w:r>
    </w:p>
    <w:p w14:paraId="4454C1A3" w14:textId="77777777" w:rsidR="00792960" w:rsidRPr="00826D24" w:rsidRDefault="00792960" w:rsidP="00792960">
      <w:pPr>
        <w:rPr>
          <w:rFonts w:ascii="Arial" w:hAnsi="Arial" w:cs="Arial"/>
          <w:sz w:val="22"/>
          <w:szCs w:val="22"/>
        </w:rPr>
      </w:pPr>
    </w:p>
    <w:p w14:paraId="0295505A" w14:textId="77BDD638" w:rsidR="00792960" w:rsidRPr="00826D24" w:rsidRDefault="0064020F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31</w:t>
      </w:r>
      <w:r w:rsidR="00792960" w:rsidRPr="00826D24">
        <w:rPr>
          <w:rFonts w:ascii="Arial" w:hAnsi="Arial" w:cs="Arial"/>
          <w:sz w:val="22"/>
          <w:szCs w:val="22"/>
        </w:rPr>
        <w:t>.</w:t>
      </w:r>
      <w:r w:rsidR="00373B9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marca</w:t>
      </w:r>
      <w:r w:rsidR="00792960" w:rsidRPr="00826D24">
        <w:rPr>
          <w:rFonts w:ascii="Arial" w:hAnsi="Arial" w:cs="Arial"/>
          <w:sz w:val="22"/>
          <w:szCs w:val="22"/>
        </w:rPr>
        <w:t xml:space="preserve"> 201</w:t>
      </w:r>
      <w:r>
        <w:rPr>
          <w:rFonts w:ascii="Arial" w:hAnsi="Arial" w:cs="Arial"/>
          <w:sz w:val="22"/>
          <w:szCs w:val="22"/>
        </w:rPr>
        <w:t>7</w:t>
      </w:r>
    </w:p>
    <w:p w14:paraId="353840C5" w14:textId="77777777" w:rsidR="00792960" w:rsidRPr="00826D24" w:rsidRDefault="00792960" w:rsidP="00792960">
      <w:pPr>
        <w:rPr>
          <w:rFonts w:ascii="Arial" w:hAnsi="Arial" w:cs="Arial"/>
          <w:sz w:val="22"/>
          <w:szCs w:val="22"/>
        </w:rPr>
      </w:pPr>
    </w:p>
    <w:p w14:paraId="4A19A8A0" w14:textId="77777777" w:rsidR="000C3516" w:rsidRPr="00826D24" w:rsidRDefault="000C3516" w:rsidP="00792960">
      <w:pPr>
        <w:rPr>
          <w:rFonts w:ascii="Arial" w:hAnsi="Arial" w:cs="Arial"/>
          <w:sz w:val="22"/>
          <w:szCs w:val="22"/>
        </w:rPr>
      </w:pPr>
    </w:p>
    <w:p w14:paraId="5566D18C" w14:textId="77777777" w:rsidR="00792960" w:rsidRPr="00826D24" w:rsidRDefault="00792960" w:rsidP="00792960">
      <w:pPr>
        <w:rPr>
          <w:rFonts w:ascii="Arial" w:hAnsi="Arial" w:cs="Arial"/>
          <w:sz w:val="22"/>
          <w:szCs w:val="22"/>
        </w:rPr>
      </w:pPr>
    </w:p>
    <w:p w14:paraId="6481D660" w14:textId="77777777" w:rsidR="00792960" w:rsidRPr="00826D24" w:rsidRDefault="00792960" w:rsidP="00792960">
      <w:pPr>
        <w:rPr>
          <w:rFonts w:ascii="Arial" w:hAnsi="Arial" w:cs="Arial"/>
          <w:sz w:val="22"/>
          <w:szCs w:val="22"/>
        </w:rPr>
      </w:pPr>
    </w:p>
    <w:p w14:paraId="640A1E01" w14:textId="77777777" w:rsidR="00792960" w:rsidRDefault="00792960" w:rsidP="00792960">
      <w:pPr>
        <w:rPr>
          <w:rFonts w:ascii="Arial" w:hAnsi="Arial" w:cs="Arial"/>
          <w:sz w:val="22"/>
          <w:szCs w:val="22"/>
        </w:rPr>
      </w:pPr>
    </w:p>
    <w:p w14:paraId="2890AE00" w14:textId="77777777" w:rsidR="008034BF" w:rsidRDefault="008034BF" w:rsidP="00792960">
      <w:pPr>
        <w:rPr>
          <w:rFonts w:ascii="Arial" w:hAnsi="Arial" w:cs="Arial"/>
          <w:sz w:val="22"/>
          <w:szCs w:val="22"/>
        </w:rPr>
      </w:pPr>
    </w:p>
    <w:p w14:paraId="516FF8AF" w14:textId="77777777" w:rsidR="008034BF" w:rsidRPr="00826D24" w:rsidRDefault="008034BF" w:rsidP="00792960">
      <w:pPr>
        <w:rPr>
          <w:rFonts w:ascii="Arial" w:hAnsi="Arial" w:cs="Arial"/>
          <w:sz w:val="22"/>
          <w:szCs w:val="22"/>
        </w:rPr>
      </w:pPr>
    </w:p>
    <w:p w14:paraId="732DF33D" w14:textId="77777777" w:rsidR="00792960" w:rsidRPr="00826D24" w:rsidRDefault="00792960" w:rsidP="00792960">
      <w:pPr>
        <w:rPr>
          <w:rFonts w:ascii="Arial" w:hAnsi="Arial" w:cs="Arial"/>
          <w:sz w:val="22"/>
          <w:szCs w:val="22"/>
        </w:rPr>
      </w:pPr>
    </w:p>
    <w:p w14:paraId="44D9540F" w14:textId="1AFE9D62" w:rsidR="00792960" w:rsidRPr="00826D24" w:rsidRDefault="0064020F" w:rsidP="00792960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Informácia</w:t>
      </w:r>
      <w:r w:rsidR="00792960" w:rsidRPr="00826D24">
        <w:rPr>
          <w:rFonts w:ascii="Arial" w:hAnsi="Arial" w:cs="Arial"/>
          <w:b/>
          <w:sz w:val="32"/>
          <w:szCs w:val="32"/>
        </w:rPr>
        <w:t xml:space="preserve"> </w:t>
      </w:r>
    </w:p>
    <w:p w14:paraId="607AA8AD" w14:textId="77777777" w:rsidR="00792960" w:rsidRPr="00826D24" w:rsidRDefault="00792960" w:rsidP="00792960">
      <w:pPr>
        <w:jc w:val="center"/>
        <w:rPr>
          <w:rFonts w:ascii="Arial" w:hAnsi="Arial" w:cs="Arial"/>
          <w:sz w:val="20"/>
          <w:szCs w:val="20"/>
        </w:rPr>
      </w:pPr>
    </w:p>
    <w:p w14:paraId="5CA5DDE5" w14:textId="0AC56CC4" w:rsidR="00792960" w:rsidRPr="00373B90" w:rsidRDefault="0064020F" w:rsidP="000C3516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 vyhodnotení Integrovaného dopravného systému v Bratislavskom kraji za rok 2016</w:t>
      </w:r>
    </w:p>
    <w:p w14:paraId="623E8D5B" w14:textId="77777777" w:rsidR="00792960" w:rsidRPr="00826D24" w:rsidRDefault="00792960" w:rsidP="00792960">
      <w:pPr>
        <w:jc w:val="center"/>
        <w:rPr>
          <w:rFonts w:ascii="Arial" w:hAnsi="Arial" w:cs="Arial"/>
          <w:sz w:val="20"/>
          <w:szCs w:val="20"/>
        </w:rPr>
      </w:pPr>
    </w:p>
    <w:p w14:paraId="14C1BCDE" w14:textId="77777777" w:rsidR="00792960" w:rsidRPr="00826D24" w:rsidRDefault="00792960" w:rsidP="00792960">
      <w:pPr>
        <w:rPr>
          <w:rFonts w:ascii="Arial" w:hAnsi="Arial" w:cs="Arial"/>
          <w:sz w:val="22"/>
          <w:szCs w:val="22"/>
        </w:rPr>
      </w:pPr>
    </w:p>
    <w:p w14:paraId="67775E32" w14:textId="77777777" w:rsidR="00792960" w:rsidRPr="00826D24" w:rsidRDefault="00792960" w:rsidP="00792960">
      <w:pPr>
        <w:rPr>
          <w:rFonts w:ascii="Arial" w:hAnsi="Arial" w:cs="Arial"/>
          <w:sz w:val="22"/>
          <w:szCs w:val="22"/>
        </w:rPr>
      </w:pPr>
    </w:p>
    <w:p w14:paraId="6965A44A" w14:textId="77777777" w:rsidR="00792960" w:rsidRPr="00826D24" w:rsidRDefault="00792960" w:rsidP="00792960">
      <w:pPr>
        <w:jc w:val="both"/>
        <w:rPr>
          <w:rFonts w:ascii="Arial" w:hAnsi="Arial" w:cs="Arial"/>
          <w:sz w:val="22"/>
          <w:szCs w:val="22"/>
        </w:rPr>
      </w:pPr>
    </w:p>
    <w:p w14:paraId="7B5C9BF2" w14:textId="77777777" w:rsidR="00792960" w:rsidRPr="00826D24" w:rsidRDefault="00792960" w:rsidP="00792960">
      <w:pPr>
        <w:rPr>
          <w:rFonts w:ascii="Arial" w:hAnsi="Arial" w:cs="Arial"/>
          <w:sz w:val="22"/>
          <w:szCs w:val="22"/>
        </w:rPr>
      </w:pPr>
      <w:r w:rsidRPr="00826D24">
        <w:rPr>
          <w:rFonts w:ascii="Arial" w:hAnsi="Arial" w:cs="Arial"/>
          <w:sz w:val="22"/>
          <w:szCs w:val="22"/>
          <w:u w:val="single"/>
        </w:rPr>
        <w:t>Materiál predkladá:</w:t>
      </w:r>
      <w:r w:rsidRPr="00826D24">
        <w:rPr>
          <w:rFonts w:ascii="Arial" w:hAnsi="Arial" w:cs="Arial"/>
          <w:sz w:val="22"/>
          <w:szCs w:val="22"/>
        </w:rPr>
        <w:tab/>
      </w:r>
      <w:r w:rsidRPr="00826D24">
        <w:rPr>
          <w:rFonts w:ascii="Arial" w:hAnsi="Arial" w:cs="Arial"/>
          <w:sz w:val="22"/>
          <w:szCs w:val="22"/>
        </w:rPr>
        <w:tab/>
      </w:r>
      <w:r w:rsidRPr="00826D24">
        <w:rPr>
          <w:rFonts w:ascii="Arial" w:hAnsi="Arial" w:cs="Arial"/>
          <w:sz w:val="22"/>
          <w:szCs w:val="22"/>
        </w:rPr>
        <w:tab/>
      </w:r>
      <w:r w:rsidRPr="00826D24">
        <w:rPr>
          <w:rFonts w:ascii="Arial" w:hAnsi="Arial" w:cs="Arial"/>
          <w:sz w:val="22"/>
          <w:szCs w:val="22"/>
        </w:rPr>
        <w:tab/>
      </w:r>
      <w:r w:rsidRPr="00826D24">
        <w:rPr>
          <w:rFonts w:ascii="Arial" w:hAnsi="Arial" w:cs="Arial"/>
          <w:sz w:val="22"/>
          <w:szCs w:val="22"/>
        </w:rPr>
        <w:tab/>
      </w:r>
      <w:r w:rsidRPr="00826D24">
        <w:rPr>
          <w:rFonts w:ascii="Arial" w:hAnsi="Arial" w:cs="Arial"/>
          <w:sz w:val="22"/>
          <w:szCs w:val="22"/>
        </w:rPr>
        <w:tab/>
      </w:r>
      <w:r w:rsidRPr="00826D24">
        <w:rPr>
          <w:rFonts w:ascii="Arial" w:hAnsi="Arial" w:cs="Arial"/>
          <w:sz w:val="22"/>
          <w:szCs w:val="22"/>
          <w:u w:val="single"/>
        </w:rPr>
        <w:t>Materiál obsahuje:</w:t>
      </w:r>
    </w:p>
    <w:p w14:paraId="2AD796CA" w14:textId="77777777" w:rsidR="00792960" w:rsidRPr="00826D24" w:rsidRDefault="00792960" w:rsidP="00792960">
      <w:pPr>
        <w:rPr>
          <w:rFonts w:ascii="Arial" w:hAnsi="Arial" w:cs="Arial"/>
          <w:sz w:val="22"/>
          <w:szCs w:val="22"/>
        </w:rPr>
      </w:pPr>
    </w:p>
    <w:p w14:paraId="2BC0913C" w14:textId="77777777" w:rsidR="00792960" w:rsidRPr="00373B90" w:rsidRDefault="000C3516" w:rsidP="00792960">
      <w:pPr>
        <w:rPr>
          <w:rFonts w:ascii="Arial" w:hAnsi="Arial" w:cs="Arial"/>
          <w:sz w:val="22"/>
          <w:szCs w:val="22"/>
        </w:rPr>
      </w:pPr>
      <w:r w:rsidRPr="00826D24">
        <w:rPr>
          <w:rFonts w:ascii="Arial" w:hAnsi="Arial" w:cs="Arial"/>
          <w:sz w:val="22"/>
          <w:szCs w:val="22"/>
        </w:rPr>
        <w:t xml:space="preserve">Ing. Martin </w:t>
      </w:r>
      <w:proofErr w:type="spellStart"/>
      <w:r w:rsidRPr="00826D24">
        <w:rPr>
          <w:rFonts w:ascii="Arial" w:hAnsi="Arial" w:cs="Arial"/>
          <w:sz w:val="22"/>
          <w:szCs w:val="22"/>
        </w:rPr>
        <w:t>Berta</w:t>
      </w:r>
      <w:proofErr w:type="spellEnd"/>
      <w:r w:rsidR="00792960" w:rsidRPr="00826D24">
        <w:rPr>
          <w:rFonts w:ascii="Arial" w:hAnsi="Arial" w:cs="Arial"/>
          <w:sz w:val="22"/>
          <w:szCs w:val="22"/>
        </w:rPr>
        <w:tab/>
        <w:t xml:space="preserve"> </w:t>
      </w:r>
      <w:r w:rsidR="00792960" w:rsidRPr="00826D24">
        <w:rPr>
          <w:rFonts w:ascii="Arial" w:hAnsi="Arial" w:cs="Arial"/>
          <w:sz w:val="22"/>
          <w:szCs w:val="22"/>
        </w:rPr>
        <w:tab/>
      </w:r>
      <w:r w:rsidR="00792960" w:rsidRPr="00826D24">
        <w:rPr>
          <w:rFonts w:ascii="Arial" w:hAnsi="Arial" w:cs="Arial"/>
          <w:sz w:val="22"/>
          <w:szCs w:val="22"/>
        </w:rPr>
        <w:tab/>
      </w:r>
      <w:r w:rsidR="00792960" w:rsidRPr="00826D24">
        <w:rPr>
          <w:rFonts w:ascii="Arial" w:hAnsi="Arial" w:cs="Arial"/>
          <w:sz w:val="22"/>
          <w:szCs w:val="22"/>
        </w:rPr>
        <w:tab/>
      </w:r>
      <w:r w:rsidR="00792960" w:rsidRPr="00826D24">
        <w:rPr>
          <w:rFonts w:ascii="Arial" w:hAnsi="Arial" w:cs="Arial"/>
          <w:sz w:val="22"/>
          <w:szCs w:val="22"/>
        </w:rPr>
        <w:tab/>
      </w:r>
      <w:r w:rsidR="00792960" w:rsidRPr="00826D24">
        <w:rPr>
          <w:rFonts w:ascii="Arial" w:hAnsi="Arial" w:cs="Arial"/>
          <w:sz w:val="22"/>
          <w:szCs w:val="22"/>
        </w:rPr>
        <w:tab/>
      </w:r>
      <w:r w:rsidR="00792960" w:rsidRPr="00373B90">
        <w:rPr>
          <w:rFonts w:ascii="Arial" w:hAnsi="Arial" w:cs="Arial"/>
          <w:sz w:val="22"/>
          <w:szCs w:val="22"/>
        </w:rPr>
        <w:t>1. Návrh uznesenia</w:t>
      </w:r>
    </w:p>
    <w:p w14:paraId="15907A13" w14:textId="52EA477C" w:rsidR="00792960" w:rsidRDefault="000C3516" w:rsidP="00792960">
      <w:pPr>
        <w:rPr>
          <w:rFonts w:ascii="Arial" w:hAnsi="Arial" w:cs="Arial"/>
          <w:sz w:val="22"/>
          <w:szCs w:val="22"/>
        </w:rPr>
      </w:pPr>
      <w:r w:rsidRPr="00373B90">
        <w:rPr>
          <w:rFonts w:ascii="Arial" w:hAnsi="Arial" w:cs="Arial"/>
          <w:sz w:val="22"/>
          <w:szCs w:val="22"/>
        </w:rPr>
        <w:t>podpredseda BSK</w:t>
      </w:r>
      <w:r w:rsidRPr="00373B90">
        <w:rPr>
          <w:rFonts w:ascii="Arial" w:hAnsi="Arial" w:cs="Arial"/>
          <w:sz w:val="22"/>
          <w:szCs w:val="22"/>
        </w:rPr>
        <w:tab/>
        <w:t xml:space="preserve"> </w:t>
      </w:r>
      <w:r w:rsidRPr="00373B90">
        <w:rPr>
          <w:rFonts w:ascii="Arial" w:hAnsi="Arial" w:cs="Arial"/>
          <w:sz w:val="22"/>
          <w:szCs w:val="22"/>
        </w:rPr>
        <w:tab/>
      </w:r>
      <w:r w:rsidRPr="00373B90">
        <w:rPr>
          <w:rFonts w:ascii="Arial" w:hAnsi="Arial" w:cs="Arial"/>
          <w:sz w:val="22"/>
          <w:szCs w:val="22"/>
        </w:rPr>
        <w:tab/>
      </w:r>
      <w:r w:rsidRPr="00373B90">
        <w:rPr>
          <w:rFonts w:ascii="Arial" w:hAnsi="Arial" w:cs="Arial"/>
          <w:sz w:val="22"/>
          <w:szCs w:val="22"/>
        </w:rPr>
        <w:tab/>
      </w:r>
      <w:r w:rsidRPr="00373B90">
        <w:rPr>
          <w:rFonts w:ascii="Arial" w:hAnsi="Arial" w:cs="Arial"/>
          <w:sz w:val="22"/>
          <w:szCs w:val="22"/>
        </w:rPr>
        <w:tab/>
      </w:r>
      <w:r w:rsidRPr="00373B90">
        <w:rPr>
          <w:rFonts w:ascii="Arial" w:hAnsi="Arial" w:cs="Arial"/>
          <w:sz w:val="22"/>
          <w:szCs w:val="22"/>
        </w:rPr>
        <w:tab/>
      </w:r>
      <w:r w:rsidR="00792960" w:rsidRPr="00373B90">
        <w:rPr>
          <w:rFonts w:ascii="Arial" w:hAnsi="Arial" w:cs="Arial"/>
          <w:sz w:val="22"/>
          <w:szCs w:val="22"/>
        </w:rPr>
        <w:t>2. Dôvodová správa</w:t>
      </w:r>
    </w:p>
    <w:p w14:paraId="4781A66B" w14:textId="7D855540" w:rsidR="004170A6" w:rsidRPr="00373B90" w:rsidRDefault="0064020F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1638FD">
        <w:rPr>
          <w:rFonts w:ascii="Arial" w:hAnsi="Arial" w:cs="Arial"/>
          <w:sz w:val="22"/>
          <w:szCs w:val="22"/>
        </w:rPr>
        <w:tab/>
      </w:r>
      <w:r w:rsidR="001638FD">
        <w:rPr>
          <w:rFonts w:ascii="Arial" w:hAnsi="Arial" w:cs="Arial"/>
          <w:sz w:val="22"/>
          <w:szCs w:val="22"/>
        </w:rPr>
        <w:tab/>
      </w:r>
      <w:r w:rsidR="001638FD">
        <w:rPr>
          <w:rFonts w:ascii="Arial" w:hAnsi="Arial" w:cs="Arial"/>
          <w:sz w:val="22"/>
          <w:szCs w:val="22"/>
        </w:rPr>
        <w:tab/>
      </w:r>
      <w:r w:rsidR="001638FD">
        <w:rPr>
          <w:rFonts w:ascii="Arial" w:hAnsi="Arial" w:cs="Arial"/>
          <w:sz w:val="22"/>
          <w:szCs w:val="22"/>
        </w:rPr>
        <w:tab/>
      </w:r>
      <w:r w:rsidR="001638FD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3. Materiál</w:t>
      </w:r>
      <w:r w:rsidR="001638FD">
        <w:rPr>
          <w:rFonts w:ascii="Arial" w:hAnsi="Arial" w:cs="Arial"/>
          <w:sz w:val="22"/>
          <w:szCs w:val="22"/>
        </w:rPr>
        <w:tab/>
      </w:r>
      <w:r w:rsidR="001638FD">
        <w:rPr>
          <w:rFonts w:ascii="Arial" w:hAnsi="Arial" w:cs="Arial"/>
          <w:sz w:val="22"/>
          <w:szCs w:val="22"/>
        </w:rPr>
        <w:tab/>
      </w:r>
      <w:r w:rsidR="001638FD">
        <w:rPr>
          <w:rFonts w:ascii="Arial" w:hAnsi="Arial" w:cs="Arial"/>
          <w:sz w:val="22"/>
          <w:szCs w:val="22"/>
        </w:rPr>
        <w:tab/>
      </w:r>
    </w:p>
    <w:p w14:paraId="5E0DB545" w14:textId="06D59E97" w:rsidR="00792960" w:rsidRPr="00373B90" w:rsidRDefault="00792960" w:rsidP="00792960">
      <w:pPr>
        <w:ind w:left="5940" w:hanging="276"/>
        <w:rPr>
          <w:rFonts w:ascii="Arial" w:hAnsi="Arial" w:cs="Arial"/>
          <w:sz w:val="22"/>
          <w:szCs w:val="22"/>
        </w:rPr>
      </w:pPr>
    </w:p>
    <w:p w14:paraId="21E949EE" w14:textId="77777777" w:rsidR="00E0124C" w:rsidRDefault="00E0124C" w:rsidP="00792960">
      <w:pPr>
        <w:rPr>
          <w:rFonts w:ascii="Arial" w:hAnsi="Arial" w:cs="Arial"/>
          <w:sz w:val="22"/>
          <w:szCs w:val="22"/>
          <w:u w:val="single"/>
        </w:rPr>
      </w:pPr>
    </w:p>
    <w:p w14:paraId="0DC5FDB1" w14:textId="77777777" w:rsidR="00E0124C" w:rsidRDefault="00E0124C" w:rsidP="00792960">
      <w:pPr>
        <w:rPr>
          <w:rFonts w:ascii="Arial" w:hAnsi="Arial" w:cs="Arial"/>
          <w:sz w:val="22"/>
          <w:szCs w:val="22"/>
          <w:u w:val="single"/>
        </w:rPr>
      </w:pPr>
    </w:p>
    <w:p w14:paraId="4EEFFE31" w14:textId="77777777" w:rsidR="00792960" w:rsidRPr="00826D24" w:rsidRDefault="00792960" w:rsidP="00792960">
      <w:pPr>
        <w:rPr>
          <w:rFonts w:ascii="Arial" w:hAnsi="Arial" w:cs="Arial"/>
          <w:sz w:val="22"/>
          <w:szCs w:val="22"/>
          <w:u w:val="single"/>
        </w:rPr>
      </w:pPr>
      <w:r w:rsidRPr="00826D24">
        <w:rPr>
          <w:rFonts w:ascii="Arial" w:hAnsi="Arial" w:cs="Arial"/>
          <w:sz w:val="22"/>
          <w:szCs w:val="22"/>
          <w:u w:val="single"/>
        </w:rPr>
        <w:t>Zodpovedný:</w:t>
      </w:r>
    </w:p>
    <w:p w14:paraId="67F78DBE" w14:textId="77777777" w:rsidR="00792960" w:rsidRPr="00826D24" w:rsidRDefault="00792960" w:rsidP="00792960">
      <w:pPr>
        <w:rPr>
          <w:rFonts w:ascii="Arial" w:hAnsi="Arial" w:cs="Arial"/>
          <w:sz w:val="22"/>
          <w:szCs w:val="22"/>
        </w:rPr>
      </w:pPr>
    </w:p>
    <w:p w14:paraId="1F059A1A" w14:textId="77777777" w:rsidR="000C3516" w:rsidRPr="00826D24" w:rsidRDefault="000C3516" w:rsidP="000C3516">
      <w:pPr>
        <w:outlineLvl w:val="0"/>
        <w:rPr>
          <w:rFonts w:ascii="Arial" w:hAnsi="Arial" w:cs="Arial"/>
          <w:sz w:val="22"/>
          <w:szCs w:val="22"/>
        </w:rPr>
      </w:pPr>
      <w:r w:rsidRPr="00826D24">
        <w:rPr>
          <w:rFonts w:ascii="Arial" w:hAnsi="Arial" w:cs="Arial"/>
          <w:sz w:val="22"/>
          <w:szCs w:val="22"/>
        </w:rPr>
        <w:t>Ing. Marian Rovenský</w:t>
      </w:r>
    </w:p>
    <w:p w14:paraId="2147AD42" w14:textId="77777777" w:rsidR="0064020F" w:rsidRDefault="0064020F" w:rsidP="000C351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predseda predstavenstva </w:t>
      </w:r>
    </w:p>
    <w:p w14:paraId="4C971D9E" w14:textId="54D64C43" w:rsidR="00792960" w:rsidRPr="00826D24" w:rsidRDefault="0064020F" w:rsidP="00792960">
      <w:pPr>
        <w:rPr>
          <w:rFonts w:ascii="Arial" w:hAnsi="Arial" w:cs="Arial"/>
          <w:sz w:val="22"/>
          <w:szCs w:val="22"/>
        </w:rPr>
      </w:pPr>
      <w:r w:rsidRPr="00826D24">
        <w:rPr>
          <w:rFonts w:ascii="Arial" w:hAnsi="Arial" w:cs="Arial"/>
          <w:sz w:val="22"/>
          <w:szCs w:val="22"/>
        </w:rPr>
        <w:t xml:space="preserve">Bratislavská integrovaná doprava, </w:t>
      </w:r>
      <w:r>
        <w:rPr>
          <w:rFonts w:ascii="Arial" w:hAnsi="Arial" w:cs="Arial"/>
          <w:sz w:val="22"/>
          <w:szCs w:val="22"/>
        </w:rPr>
        <w:t>a. s.</w:t>
      </w:r>
    </w:p>
    <w:p w14:paraId="5C582571" w14:textId="77777777" w:rsidR="00792960" w:rsidRDefault="00792960" w:rsidP="00792960">
      <w:pPr>
        <w:rPr>
          <w:rFonts w:ascii="Arial" w:hAnsi="Arial" w:cs="Arial"/>
          <w:sz w:val="22"/>
          <w:szCs w:val="22"/>
        </w:rPr>
      </w:pPr>
    </w:p>
    <w:p w14:paraId="3CA1413C" w14:textId="77777777" w:rsidR="00373B90" w:rsidRPr="00826D24" w:rsidRDefault="00373B90" w:rsidP="00792960">
      <w:pPr>
        <w:rPr>
          <w:rFonts w:ascii="Arial" w:hAnsi="Arial" w:cs="Arial"/>
          <w:sz w:val="22"/>
          <w:szCs w:val="22"/>
        </w:rPr>
      </w:pPr>
    </w:p>
    <w:p w14:paraId="115064D4" w14:textId="77777777" w:rsidR="000C3516" w:rsidRPr="00826D24" w:rsidRDefault="000C3516" w:rsidP="000C3516">
      <w:pPr>
        <w:rPr>
          <w:rFonts w:ascii="Arial" w:hAnsi="Arial" w:cs="Arial"/>
          <w:sz w:val="22"/>
          <w:szCs w:val="22"/>
          <w:u w:val="single"/>
        </w:rPr>
      </w:pPr>
      <w:r w:rsidRPr="00826D24">
        <w:rPr>
          <w:rFonts w:ascii="Arial" w:hAnsi="Arial" w:cs="Arial"/>
          <w:sz w:val="22"/>
          <w:szCs w:val="22"/>
          <w:u w:val="single"/>
        </w:rPr>
        <w:t>Spracovatelia:</w:t>
      </w:r>
    </w:p>
    <w:p w14:paraId="5438DE2C" w14:textId="77777777" w:rsidR="000C3516" w:rsidRPr="00826D24" w:rsidRDefault="000C3516" w:rsidP="000C3516">
      <w:pPr>
        <w:rPr>
          <w:rFonts w:ascii="Arial" w:hAnsi="Arial" w:cs="Arial"/>
          <w:sz w:val="22"/>
          <w:szCs w:val="22"/>
        </w:rPr>
      </w:pPr>
    </w:p>
    <w:p w14:paraId="24B030ED" w14:textId="77777777" w:rsidR="000C3516" w:rsidRPr="00826D24" w:rsidRDefault="000C3516" w:rsidP="000C3516">
      <w:pPr>
        <w:rPr>
          <w:rFonts w:ascii="Arial" w:hAnsi="Arial" w:cs="Arial"/>
          <w:sz w:val="22"/>
          <w:szCs w:val="22"/>
        </w:rPr>
      </w:pPr>
      <w:r w:rsidRPr="00826D24">
        <w:rPr>
          <w:rFonts w:ascii="Arial" w:hAnsi="Arial" w:cs="Arial"/>
          <w:sz w:val="22"/>
          <w:szCs w:val="22"/>
        </w:rPr>
        <w:t>Ing. Zuzana Horčíková</w:t>
      </w:r>
    </w:p>
    <w:p w14:paraId="1651C001" w14:textId="77777777" w:rsidR="000C3516" w:rsidRPr="00826D24" w:rsidRDefault="006A19AA" w:rsidP="000C351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generálna </w:t>
      </w:r>
      <w:r w:rsidR="000C3516" w:rsidRPr="00826D24">
        <w:rPr>
          <w:rFonts w:ascii="Arial" w:hAnsi="Arial" w:cs="Arial"/>
          <w:sz w:val="22"/>
          <w:szCs w:val="22"/>
        </w:rPr>
        <w:t xml:space="preserve">riaditeľka </w:t>
      </w:r>
    </w:p>
    <w:p w14:paraId="593F99EA" w14:textId="52C32918" w:rsidR="000C3516" w:rsidRPr="00826D24" w:rsidRDefault="000C3516" w:rsidP="000C3516">
      <w:pPr>
        <w:rPr>
          <w:rFonts w:ascii="Arial" w:hAnsi="Arial" w:cs="Arial"/>
          <w:sz w:val="22"/>
          <w:szCs w:val="22"/>
        </w:rPr>
      </w:pPr>
      <w:r w:rsidRPr="00826D24">
        <w:rPr>
          <w:rFonts w:ascii="Arial" w:hAnsi="Arial" w:cs="Arial"/>
          <w:sz w:val="22"/>
          <w:szCs w:val="22"/>
        </w:rPr>
        <w:t xml:space="preserve">Bratislavská integrovaná doprava, </w:t>
      </w:r>
      <w:r w:rsidR="006F763E">
        <w:rPr>
          <w:rFonts w:ascii="Arial" w:hAnsi="Arial" w:cs="Arial"/>
          <w:sz w:val="22"/>
          <w:szCs w:val="22"/>
        </w:rPr>
        <w:t>a. s.</w:t>
      </w:r>
    </w:p>
    <w:p w14:paraId="78007EA5" w14:textId="77777777" w:rsidR="000C3516" w:rsidRPr="00826D24" w:rsidRDefault="000C3516" w:rsidP="000C3516">
      <w:pPr>
        <w:rPr>
          <w:rFonts w:ascii="Arial" w:hAnsi="Arial" w:cs="Arial"/>
          <w:sz w:val="22"/>
          <w:szCs w:val="22"/>
        </w:rPr>
      </w:pPr>
    </w:p>
    <w:p w14:paraId="46077B93" w14:textId="77777777" w:rsidR="000C3516" w:rsidRDefault="000C3516" w:rsidP="00792960">
      <w:pPr>
        <w:jc w:val="center"/>
        <w:rPr>
          <w:rFonts w:ascii="Arial" w:hAnsi="Arial" w:cs="Arial"/>
          <w:sz w:val="22"/>
          <w:szCs w:val="22"/>
        </w:rPr>
      </w:pPr>
    </w:p>
    <w:p w14:paraId="7E4C5BBB" w14:textId="77777777" w:rsidR="000C3516" w:rsidRDefault="000C3516" w:rsidP="00792960">
      <w:pPr>
        <w:jc w:val="center"/>
        <w:rPr>
          <w:rFonts w:ascii="Arial" w:hAnsi="Arial" w:cs="Arial"/>
          <w:sz w:val="22"/>
          <w:szCs w:val="22"/>
        </w:rPr>
      </w:pPr>
    </w:p>
    <w:p w14:paraId="52681ECD" w14:textId="77777777" w:rsidR="00826D24" w:rsidRPr="00826D24" w:rsidRDefault="00826D24" w:rsidP="00792960">
      <w:pPr>
        <w:jc w:val="center"/>
        <w:rPr>
          <w:rFonts w:ascii="Arial" w:hAnsi="Arial" w:cs="Arial"/>
          <w:sz w:val="22"/>
          <w:szCs w:val="22"/>
        </w:rPr>
      </w:pPr>
    </w:p>
    <w:p w14:paraId="28E197D3" w14:textId="77777777" w:rsidR="003F4A9C" w:rsidRDefault="003F4A9C" w:rsidP="00792960">
      <w:pPr>
        <w:jc w:val="center"/>
        <w:rPr>
          <w:rFonts w:ascii="Arial" w:hAnsi="Arial" w:cs="Arial"/>
          <w:sz w:val="22"/>
          <w:szCs w:val="22"/>
        </w:rPr>
      </w:pPr>
    </w:p>
    <w:p w14:paraId="606D3491" w14:textId="77777777" w:rsidR="003F4A9C" w:rsidRDefault="003F4A9C" w:rsidP="00792960">
      <w:pPr>
        <w:jc w:val="center"/>
        <w:rPr>
          <w:rFonts w:ascii="Arial" w:hAnsi="Arial" w:cs="Arial"/>
          <w:sz w:val="22"/>
          <w:szCs w:val="22"/>
        </w:rPr>
      </w:pPr>
    </w:p>
    <w:p w14:paraId="7F7280B3" w14:textId="5041F059" w:rsidR="00792960" w:rsidRPr="00826D24" w:rsidRDefault="000C3516" w:rsidP="00792960">
      <w:pPr>
        <w:jc w:val="center"/>
        <w:rPr>
          <w:rFonts w:ascii="Arial" w:hAnsi="Arial" w:cs="Arial"/>
          <w:sz w:val="22"/>
          <w:szCs w:val="22"/>
        </w:rPr>
      </w:pPr>
      <w:r w:rsidRPr="00826D24">
        <w:rPr>
          <w:rFonts w:ascii="Arial" w:hAnsi="Arial" w:cs="Arial"/>
          <w:sz w:val="22"/>
          <w:szCs w:val="22"/>
        </w:rPr>
        <w:t>B</w:t>
      </w:r>
      <w:r w:rsidR="00792960" w:rsidRPr="00826D24">
        <w:rPr>
          <w:rFonts w:ascii="Arial" w:hAnsi="Arial" w:cs="Arial"/>
          <w:sz w:val="22"/>
          <w:szCs w:val="22"/>
        </w:rPr>
        <w:t>ratislava</w:t>
      </w:r>
    </w:p>
    <w:p w14:paraId="7C066796" w14:textId="31AE930D" w:rsidR="00826D24" w:rsidRDefault="00F0405E" w:rsidP="004170A6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marec</w:t>
      </w:r>
      <w:r w:rsidR="00035162">
        <w:rPr>
          <w:rFonts w:ascii="Arial" w:hAnsi="Arial" w:cs="Arial"/>
          <w:sz w:val="22"/>
          <w:szCs w:val="22"/>
        </w:rPr>
        <w:t xml:space="preserve"> </w:t>
      </w:r>
      <w:r w:rsidR="00413C8F">
        <w:rPr>
          <w:rFonts w:ascii="Arial" w:hAnsi="Arial" w:cs="Arial"/>
          <w:sz w:val="22"/>
          <w:szCs w:val="22"/>
        </w:rPr>
        <w:t>201</w:t>
      </w:r>
      <w:r>
        <w:rPr>
          <w:rFonts w:ascii="Arial" w:hAnsi="Arial" w:cs="Arial"/>
          <w:sz w:val="22"/>
          <w:szCs w:val="22"/>
        </w:rPr>
        <w:t>7</w:t>
      </w:r>
      <w:bookmarkStart w:id="0" w:name="_GoBack"/>
      <w:bookmarkEnd w:id="0"/>
      <w:r w:rsidR="00826D24">
        <w:rPr>
          <w:rFonts w:ascii="Arial" w:hAnsi="Arial" w:cs="Arial"/>
          <w:sz w:val="22"/>
          <w:szCs w:val="22"/>
        </w:rPr>
        <w:br w:type="page"/>
      </w:r>
    </w:p>
    <w:p w14:paraId="301BC545" w14:textId="77777777" w:rsidR="00792960" w:rsidRPr="00826D24" w:rsidRDefault="00792960" w:rsidP="00792960">
      <w:pPr>
        <w:jc w:val="center"/>
        <w:rPr>
          <w:rFonts w:ascii="Arial" w:hAnsi="Arial" w:cs="Arial"/>
          <w:spacing w:val="70"/>
        </w:rPr>
      </w:pPr>
      <w:r w:rsidRPr="00826D24">
        <w:rPr>
          <w:rFonts w:ascii="Arial" w:hAnsi="Arial" w:cs="Arial"/>
          <w:spacing w:val="70"/>
        </w:rPr>
        <w:lastRenderedPageBreak/>
        <w:t>Návrh uznesenia</w:t>
      </w:r>
    </w:p>
    <w:p w14:paraId="346BBCBD" w14:textId="77777777" w:rsidR="00792960" w:rsidRPr="00826D24" w:rsidRDefault="00792960" w:rsidP="00792960">
      <w:pPr>
        <w:jc w:val="center"/>
        <w:rPr>
          <w:rFonts w:ascii="Arial" w:hAnsi="Arial" w:cs="Arial"/>
          <w:sz w:val="20"/>
          <w:szCs w:val="20"/>
        </w:rPr>
      </w:pPr>
    </w:p>
    <w:p w14:paraId="24345BE1" w14:textId="77777777" w:rsidR="00792960" w:rsidRDefault="00792960" w:rsidP="00792960">
      <w:pPr>
        <w:jc w:val="center"/>
        <w:rPr>
          <w:rFonts w:ascii="Arial" w:hAnsi="Arial" w:cs="Arial"/>
        </w:rPr>
      </w:pPr>
    </w:p>
    <w:p w14:paraId="07B58994" w14:textId="77777777" w:rsidR="00792960" w:rsidRDefault="00792960" w:rsidP="00792960">
      <w:pPr>
        <w:jc w:val="center"/>
        <w:rPr>
          <w:rFonts w:ascii="Arial" w:hAnsi="Arial" w:cs="Arial"/>
        </w:rPr>
      </w:pPr>
    </w:p>
    <w:p w14:paraId="5A6BA724" w14:textId="5F43CEC0" w:rsidR="00792960" w:rsidRDefault="00A13572" w:rsidP="0079296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UZNESENIE č. ........... / 201</w:t>
      </w:r>
      <w:r w:rsidR="0064020F">
        <w:rPr>
          <w:rFonts w:ascii="Arial" w:hAnsi="Arial" w:cs="Arial"/>
          <w:b/>
        </w:rPr>
        <w:t>7</w:t>
      </w:r>
    </w:p>
    <w:p w14:paraId="6EF7E8A4" w14:textId="4B3EAB77" w:rsidR="00792960" w:rsidRDefault="00792960" w:rsidP="0079296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zo dňa </w:t>
      </w:r>
      <w:r w:rsidR="0064020F">
        <w:rPr>
          <w:rFonts w:ascii="Arial" w:hAnsi="Arial" w:cs="Arial"/>
          <w:sz w:val="22"/>
          <w:szCs w:val="22"/>
        </w:rPr>
        <w:t>31</w:t>
      </w:r>
      <w:r>
        <w:rPr>
          <w:rFonts w:ascii="Arial" w:hAnsi="Arial" w:cs="Arial"/>
          <w:sz w:val="22"/>
          <w:szCs w:val="22"/>
        </w:rPr>
        <w:t xml:space="preserve">. </w:t>
      </w:r>
      <w:r w:rsidR="0064020F">
        <w:rPr>
          <w:rFonts w:ascii="Arial" w:hAnsi="Arial" w:cs="Arial"/>
          <w:sz w:val="22"/>
          <w:szCs w:val="22"/>
        </w:rPr>
        <w:t>03</w:t>
      </w:r>
      <w:r>
        <w:rPr>
          <w:rFonts w:ascii="Arial" w:hAnsi="Arial" w:cs="Arial"/>
          <w:sz w:val="22"/>
          <w:szCs w:val="22"/>
        </w:rPr>
        <w:t>. 201</w:t>
      </w:r>
      <w:r w:rsidR="0064020F">
        <w:rPr>
          <w:rFonts w:ascii="Arial" w:hAnsi="Arial" w:cs="Arial"/>
          <w:sz w:val="22"/>
          <w:szCs w:val="22"/>
        </w:rPr>
        <w:t>7</w:t>
      </w:r>
    </w:p>
    <w:p w14:paraId="37A4D03E" w14:textId="77777777" w:rsidR="00792960" w:rsidRDefault="00792960" w:rsidP="00792960">
      <w:pPr>
        <w:jc w:val="center"/>
        <w:rPr>
          <w:rFonts w:ascii="Arial" w:hAnsi="Arial" w:cs="Arial"/>
        </w:rPr>
      </w:pPr>
    </w:p>
    <w:p w14:paraId="48D5AD52" w14:textId="77777777" w:rsidR="00792960" w:rsidRDefault="00792960" w:rsidP="00792960">
      <w:pPr>
        <w:jc w:val="center"/>
        <w:rPr>
          <w:rFonts w:ascii="Arial" w:hAnsi="Arial" w:cs="Arial"/>
        </w:rPr>
      </w:pPr>
    </w:p>
    <w:p w14:paraId="4866F19D" w14:textId="77777777" w:rsidR="00792960" w:rsidRDefault="00792960" w:rsidP="00792960">
      <w:pPr>
        <w:jc w:val="center"/>
        <w:rPr>
          <w:rFonts w:ascii="Arial" w:hAnsi="Arial" w:cs="Arial"/>
        </w:rPr>
      </w:pPr>
    </w:p>
    <w:p w14:paraId="304FF12C" w14:textId="77777777" w:rsidR="00792960" w:rsidRDefault="00792960" w:rsidP="00792960">
      <w:pPr>
        <w:jc w:val="center"/>
        <w:rPr>
          <w:rFonts w:ascii="Arial" w:hAnsi="Arial" w:cs="Arial"/>
        </w:rPr>
      </w:pPr>
    </w:p>
    <w:p w14:paraId="05E3F65C" w14:textId="77777777" w:rsidR="00792960" w:rsidRDefault="00792960" w:rsidP="00792960">
      <w:pPr>
        <w:jc w:val="center"/>
        <w:rPr>
          <w:rFonts w:ascii="Arial" w:hAnsi="Arial" w:cs="Arial"/>
        </w:rPr>
      </w:pPr>
    </w:p>
    <w:p w14:paraId="7AF2969E" w14:textId="77777777" w:rsidR="0064020F" w:rsidRPr="00185899" w:rsidRDefault="0064020F" w:rsidP="0064020F">
      <w:pPr>
        <w:jc w:val="center"/>
        <w:rPr>
          <w:rFonts w:ascii="Arial" w:hAnsi="Arial" w:cs="Arial"/>
        </w:rPr>
      </w:pPr>
      <w:r w:rsidRPr="00185899">
        <w:rPr>
          <w:rFonts w:ascii="Arial" w:hAnsi="Arial" w:cs="Arial"/>
        </w:rPr>
        <w:t>Zastupiteľstvo Bratislavského samosprávneho kraja po prerokovaní materiálu</w:t>
      </w:r>
    </w:p>
    <w:p w14:paraId="4789374A" w14:textId="77777777" w:rsidR="0064020F" w:rsidRPr="00185899" w:rsidRDefault="0064020F" w:rsidP="0064020F">
      <w:pPr>
        <w:jc w:val="both"/>
        <w:rPr>
          <w:rFonts w:ascii="Arial" w:hAnsi="Arial" w:cs="Arial"/>
        </w:rPr>
      </w:pPr>
    </w:p>
    <w:p w14:paraId="761AF084" w14:textId="77777777" w:rsidR="0064020F" w:rsidRDefault="0064020F" w:rsidP="0064020F">
      <w:pPr>
        <w:jc w:val="center"/>
        <w:rPr>
          <w:rFonts w:ascii="Arial" w:hAnsi="Arial" w:cs="Arial"/>
          <w:b/>
          <w:spacing w:val="70"/>
        </w:rPr>
      </w:pPr>
      <w:r>
        <w:rPr>
          <w:rFonts w:ascii="Arial" w:hAnsi="Arial" w:cs="Arial"/>
          <w:b/>
          <w:spacing w:val="70"/>
        </w:rPr>
        <w:t>A. berie na vedomie</w:t>
      </w:r>
    </w:p>
    <w:p w14:paraId="0289E19B" w14:textId="77777777" w:rsidR="0064020F" w:rsidRDefault="0064020F" w:rsidP="0064020F">
      <w:pPr>
        <w:jc w:val="center"/>
        <w:rPr>
          <w:rFonts w:ascii="Arial" w:hAnsi="Arial" w:cs="Arial"/>
          <w:sz w:val="22"/>
          <w:szCs w:val="22"/>
        </w:rPr>
      </w:pPr>
    </w:p>
    <w:p w14:paraId="7EA0AF47" w14:textId="77777777" w:rsidR="0064020F" w:rsidRPr="00826D24" w:rsidRDefault="0064020F" w:rsidP="0064020F">
      <w:pPr>
        <w:jc w:val="center"/>
        <w:rPr>
          <w:rFonts w:ascii="Arial" w:hAnsi="Arial" w:cs="Arial"/>
          <w:sz w:val="22"/>
          <w:szCs w:val="22"/>
        </w:rPr>
      </w:pPr>
    </w:p>
    <w:p w14:paraId="75712AEE" w14:textId="77777777" w:rsidR="0064020F" w:rsidRPr="00373B90" w:rsidRDefault="0064020F" w:rsidP="0064020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Informáciu o vyhodnotení Integrovaného dopravného systému v Bratislavskom kraji za rok 2016.</w:t>
      </w:r>
    </w:p>
    <w:p w14:paraId="1188F236" w14:textId="77777777" w:rsidR="0064020F" w:rsidRDefault="0064020F" w:rsidP="0064020F">
      <w:pPr>
        <w:jc w:val="center"/>
        <w:rPr>
          <w:rFonts w:ascii="Arial" w:hAnsi="Arial" w:cs="Arial"/>
          <w:b/>
          <w:spacing w:val="70"/>
          <w:sz w:val="22"/>
          <w:szCs w:val="22"/>
        </w:rPr>
      </w:pPr>
    </w:p>
    <w:p w14:paraId="4DC0BDEF" w14:textId="77777777" w:rsidR="0064020F" w:rsidRPr="00826D24" w:rsidRDefault="0064020F" w:rsidP="0064020F">
      <w:pPr>
        <w:jc w:val="center"/>
        <w:rPr>
          <w:rFonts w:ascii="Arial" w:hAnsi="Arial" w:cs="Arial"/>
          <w:b/>
          <w:spacing w:val="70"/>
          <w:sz w:val="22"/>
          <w:szCs w:val="22"/>
        </w:rPr>
      </w:pPr>
    </w:p>
    <w:p w14:paraId="76435C21" w14:textId="77777777" w:rsidR="0064020F" w:rsidRDefault="0064020F" w:rsidP="0064020F">
      <w:pPr>
        <w:jc w:val="center"/>
        <w:rPr>
          <w:rFonts w:ascii="Arial" w:hAnsi="Arial" w:cs="Arial"/>
          <w:b/>
          <w:spacing w:val="70"/>
        </w:rPr>
      </w:pPr>
      <w:r>
        <w:rPr>
          <w:rFonts w:ascii="Arial" w:hAnsi="Arial" w:cs="Arial"/>
          <w:b/>
          <w:spacing w:val="70"/>
        </w:rPr>
        <w:t>B. poveruje</w:t>
      </w:r>
    </w:p>
    <w:p w14:paraId="113243D2" w14:textId="77777777" w:rsidR="0064020F" w:rsidRPr="00F76ACD" w:rsidRDefault="0064020F" w:rsidP="0064020F">
      <w:pPr>
        <w:jc w:val="center"/>
        <w:rPr>
          <w:rFonts w:ascii="Arial" w:hAnsi="Arial" w:cs="Arial"/>
          <w:sz w:val="22"/>
          <w:szCs w:val="22"/>
        </w:rPr>
      </w:pPr>
    </w:p>
    <w:p w14:paraId="50607D12" w14:textId="77777777" w:rsidR="0064020F" w:rsidRPr="00F76ACD" w:rsidRDefault="0064020F" w:rsidP="0064020F">
      <w:pPr>
        <w:jc w:val="center"/>
        <w:rPr>
          <w:rFonts w:ascii="Arial" w:hAnsi="Arial" w:cs="Arial"/>
          <w:sz w:val="22"/>
          <w:szCs w:val="22"/>
        </w:rPr>
      </w:pPr>
    </w:p>
    <w:p w14:paraId="20AAF4B5" w14:textId="77777777" w:rsidR="0064020F" w:rsidRDefault="0064020F" w:rsidP="0064020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B1. Predsedu Bratislavského samosprávneho kraja rokovať s primátorom hlavného mesta SR Bratislavy ako jediným akcionárom spoločnosti Dopravný podnik Bratislava, a. s. o zmene deľby tržieb, ktoré navrhla spoločnosť Bratislavská integrovaná doprava, a. s., ako koordinátor Integrovaného dopraveného systému v Bratislavskom kraji a ktoré boli akceptované všetkými objednávateľmi a dopravcami (s výnimkou DPB, a. s.) zapojenými do Integrovaného dopraveného systému v Bratislavskom kraji.</w:t>
      </w:r>
    </w:p>
    <w:p w14:paraId="597A7D13" w14:textId="77777777" w:rsidR="0064020F" w:rsidRDefault="0064020F" w:rsidP="0064020F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T: 30. 06. 2017</w:t>
      </w:r>
    </w:p>
    <w:p w14:paraId="4B1D1A05" w14:textId="77777777" w:rsidR="0064020F" w:rsidRDefault="0064020F" w:rsidP="0064020F">
      <w:pPr>
        <w:jc w:val="right"/>
        <w:rPr>
          <w:rFonts w:ascii="Arial" w:hAnsi="Arial" w:cs="Arial"/>
          <w:sz w:val="22"/>
          <w:szCs w:val="22"/>
        </w:rPr>
      </w:pPr>
    </w:p>
    <w:p w14:paraId="6B0DDA3F" w14:textId="77777777" w:rsidR="0064020F" w:rsidRDefault="0064020F" w:rsidP="0064020F">
      <w:pPr>
        <w:jc w:val="both"/>
        <w:rPr>
          <w:rFonts w:ascii="Arial" w:hAnsi="Arial" w:cs="Arial"/>
          <w:sz w:val="22"/>
          <w:szCs w:val="22"/>
        </w:rPr>
      </w:pPr>
    </w:p>
    <w:p w14:paraId="367BFCAC" w14:textId="5FA2290E" w:rsidR="0064020F" w:rsidRDefault="0064020F" w:rsidP="0064020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B2. Predsedu Bratislavského samosprávneho kraja, ako zástupcu akcionára spoločnosti Bratislavská integrovaná doprava, a. s., aby uložil predstavenstvu spoločnosti pripraviť návrh </w:t>
      </w:r>
      <w:r w:rsidRPr="00724A4D">
        <w:rPr>
          <w:rFonts w:ascii="Arial" w:hAnsi="Arial" w:cs="Arial"/>
          <w:sz w:val="22"/>
          <w:szCs w:val="22"/>
        </w:rPr>
        <w:t>dohody o spolupráci pri ďalšom rozvoji Integrovaného dopravného systému na území Bratislavského kraja</w:t>
      </w:r>
      <w:r>
        <w:rPr>
          <w:rFonts w:ascii="Arial" w:hAnsi="Arial" w:cs="Arial"/>
          <w:sz w:val="22"/>
          <w:szCs w:val="22"/>
        </w:rPr>
        <w:t>, predmetom ktorej bude spoločný postup objednávateľov dopravy a dopravcov pri rozvoji Integrovaného dopravného systému v Bratislavskom kraji a odovzdanie niektorých kompetencií spoločnosti Bratislavská integrovaná doprava, a. s. ako koordinátorovi celého systému.</w:t>
      </w:r>
    </w:p>
    <w:p w14:paraId="4D991791" w14:textId="77777777" w:rsidR="0064020F" w:rsidRDefault="0064020F" w:rsidP="0064020F">
      <w:pPr>
        <w:jc w:val="both"/>
        <w:rPr>
          <w:rFonts w:ascii="Arial" w:hAnsi="Arial" w:cs="Arial"/>
          <w:sz w:val="22"/>
          <w:szCs w:val="22"/>
        </w:rPr>
      </w:pPr>
    </w:p>
    <w:p w14:paraId="052A01A7" w14:textId="77777777" w:rsidR="0064020F" w:rsidRDefault="0064020F" w:rsidP="0064020F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T: 30. 06. 2017</w:t>
      </w:r>
    </w:p>
    <w:p w14:paraId="378E0D54" w14:textId="77777777" w:rsidR="0064020F" w:rsidRDefault="0064020F" w:rsidP="0064020F">
      <w:pPr>
        <w:jc w:val="right"/>
        <w:rPr>
          <w:rFonts w:ascii="Arial" w:hAnsi="Arial" w:cs="Arial"/>
          <w:sz w:val="22"/>
          <w:szCs w:val="22"/>
        </w:rPr>
      </w:pPr>
    </w:p>
    <w:p w14:paraId="4D9A9DF3" w14:textId="77777777" w:rsidR="00DF7A61" w:rsidRDefault="00DF7A61" w:rsidP="00DF7A61">
      <w:pPr>
        <w:jc w:val="right"/>
        <w:rPr>
          <w:rFonts w:ascii="Arial" w:hAnsi="Arial" w:cs="Arial"/>
          <w:sz w:val="22"/>
          <w:szCs w:val="22"/>
        </w:rPr>
      </w:pPr>
    </w:p>
    <w:p w14:paraId="3FAA5356" w14:textId="77777777" w:rsidR="00826D24" w:rsidRDefault="00826D24">
      <w:pPr>
        <w:spacing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51BAF3AD" w14:textId="77777777" w:rsidR="0064020F" w:rsidRDefault="0064020F" w:rsidP="0064020F">
      <w:pPr>
        <w:jc w:val="center"/>
        <w:rPr>
          <w:rFonts w:ascii="Arial" w:hAnsi="Arial" w:cs="Arial"/>
          <w:b/>
        </w:rPr>
      </w:pPr>
      <w:r w:rsidRPr="0054613D">
        <w:rPr>
          <w:rFonts w:ascii="Arial" w:hAnsi="Arial" w:cs="Arial"/>
          <w:b/>
        </w:rPr>
        <w:lastRenderedPageBreak/>
        <w:t>D</w:t>
      </w:r>
      <w:r>
        <w:rPr>
          <w:rFonts w:ascii="Arial" w:hAnsi="Arial" w:cs="Arial"/>
          <w:b/>
        </w:rPr>
        <w:t xml:space="preserve"> </w:t>
      </w:r>
      <w:r w:rsidRPr="0054613D">
        <w:rPr>
          <w:rFonts w:ascii="Arial" w:hAnsi="Arial" w:cs="Arial"/>
          <w:b/>
        </w:rPr>
        <w:t>ô</w:t>
      </w:r>
      <w:r>
        <w:rPr>
          <w:rFonts w:ascii="Arial" w:hAnsi="Arial" w:cs="Arial"/>
          <w:b/>
        </w:rPr>
        <w:t xml:space="preserve"> </w:t>
      </w:r>
      <w:r w:rsidRPr="0054613D">
        <w:rPr>
          <w:rFonts w:ascii="Arial" w:hAnsi="Arial" w:cs="Arial"/>
          <w:b/>
        </w:rPr>
        <w:t>v</w:t>
      </w:r>
      <w:r>
        <w:rPr>
          <w:rFonts w:ascii="Arial" w:hAnsi="Arial" w:cs="Arial"/>
          <w:b/>
        </w:rPr>
        <w:t> </w:t>
      </w:r>
      <w:r w:rsidRPr="0054613D">
        <w:rPr>
          <w:rFonts w:ascii="Arial" w:hAnsi="Arial" w:cs="Arial"/>
          <w:b/>
        </w:rPr>
        <w:t>o</w:t>
      </w:r>
      <w:r>
        <w:rPr>
          <w:rFonts w:ascii="Arial" w:hAnsi="Arial" w:cs="Arial"/>
          <w:b/>
        </w:rPr>
        <w:t> </w:t>
      </w:r>
      <w:r w:rsidRPr="0054613D">
        <w:rPr>
          <w:rFonts w:ascii="Arial" w:hAnsi="Arial" w:cs="Arial"/>
          <w:b/>
        </w:rPr>
        <w:t>d</w:t>
      </w:r>
      <w:r>
        <w:rPr>
          <w:rFonts w:ascii="Arial" w:hAnsi="Arial" w:cs="Arial"/>
          <w:b/>
        </w:rPr>
        <w:t xml:space="preserve"> </w:t>
      </w:r>
      <w:r w:rsidRPr="0054613D">
        <w:rPr>
          <w:rFonts w:ascii="Arial" w:hAnsi="Arial" w:cs="Arial"/>
          <w:b/>
        </w:rPr>
        <w:t>o</w:t>
      </w:r>
      <w:r>
        <w:rPr>
          <w:rFonts w:ascii="Arial" w:hAnsi="Arial" w:cs="Arial"/>
          <w:b/>
        </w:rPr>
        <w:t> </w:t>
      </w:r>
      <w:r w:rsidRPr="0054613D">
        <w:rPr>
          <w:rFonts w:ascii="Arial" w:hAnsi="Arial" w:cs="Arial"/>
          <w:b/>
        </w:rPr>
        <w:t>v</w:t>
      </w:r>
      <w:r>
        <w:rPr>
          <w:rFonts w:ascii="Arial" w:hAnsi="Arial" w:cs="Arial"/>
          <w:b/>
        </w:rPr>
        <w:t xml:space="preserve"> </w:t>
      </w:r>
      <w:r w:rsidRPr="0054613D">
        <w:rPr>
          <w:rFonts w:ascii="Arial" w:hAnsi="Arial" w:cs="Arial"/>
          <w:b/>
        </w:rPr>
        <w:t xml:space="preserve">á </w:t>
      </w:r>
      <w:r>
        <w:rPr>
          <w:rFonts w:ascii="Arial" w:hAnsi="Arial" w:cs="Arial"/>
          <w:b/>
        </w:rPr>
        <w:t xml:space="preserve">  </w:t>
      </w:r>
      <w:r w:rsidRPr="0054613D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> </w:t>
      </w:r>
      <w:r w:rsidRPr="0054613D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54613D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54613D">
        <w:rPr>
          <w:rFonts w:ascii="Arial" w:hAnsi="Arial" w:cs="Arial"/>
          <w:b/>
        </w:rPr>
        <w:t>á</w:t>
      </w:r>
      <w:r>
        <w:rPr>
          <w:rFonts w:ascii="Arial" w:hAnsi="Arial" w:cs="Arial"/>
          <w:b/>
        </w:rPr>
        <w:t xml:space="preserve"> </w:t>
      </w:r>
      <w:r w:rsidRPr="0054613D">
        <w:rPr>
          <w:rFonts w:ascii="Arial" w:hAnsi="Arial" w:cs="Arial"/>
          <w:b/>
        </w:rPr>
        <w:t>v</w:t>
      </w:r>
      <w:r>
        <w:rPr>
          <w:rFonts w:ascii="Arial" w:hAnsi="Arial" w:cs="Arial"/>
          <w:b/>
        </w:rPr>
        <w:t> </w:t>
      </w:r>
      <w:r w:rsidRPr="0054613D">
        <w:rPr>
          <w:rFonts w:ascii="Arial" w:hAnsi="Arial" w:cs="Arial"/>
          <w:b/>
        </w:rPr>
        <w:t>a</w:t>
      </w:r>
    </w:p>
    <w:p w14:paraId="0C2309DE" w14:textId="77777777" w:rsidR="0064020F" w:rsidRDefault="0064020F" w:rsidP="0064020F">
      <w:pPr>
        <w:rPr>
          <w:rFonts w:ascii="Arial" w:hAnsi="Arial" w:cs="Arial"/>
          <w:b/>
        </w:rPr>
      </w:pPr>
    </w:p>
    <w:p w14:paraId="373E5135" w14:textId="77777777" w:rsidR="0064020F" w:rsidRDefault="0064020F" w:rsidP="0064020F">
      <w:pPr>
        <w:rPr>
          <w:rFonts w:ascii="Arial" w:hAnsi="Arial" w:cs="Arial"/>
          <w:b/>
        </w:rPr>
      </w:pPr>
    </w:p>
    <w:p w14:paraId="6CBE23A3" w14:textId="77777777" w:rsidR="0064020F" w:rsidRDefault="0064020F" w:rsidP="0064020F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</w:p>
    <w:p w14:paraId="556A05B2" w14:textId="77777777" w:rsidR="0064020F" w:rsidRPr="00951E96" w:rsidRDefault="0064020F" w:rsidP="0064020F">
      <w:pPr>
        <w:jc w:val="both"/>
        <w:rPr>
          <w:rFonts w:ascii="Arial" w:hAnsi="Arial" w:cs="Arial"/>
        </w:rPr>
      </w:pPr>
      <w:r w:rsidRPr="00951E96">
        <w:rPr>
          <w:rFonts w:ascii="Arial" w:hAnsi="Arial" w:cs="Arial"/>
        </w:rPr>
        <w:t>Spoločnosť BID, a. s. mala v zmysle uzatvorených zmlúv so svojimi akcionármi za úlohu do konca februára 2017 predložiť vyhodnotenie IDS BK. Túto úlohu si splnila zaslaním dokumentu s názvom Integrovaný dopravný systém v Bratislavskom kraji – správa o vývoji za rok 2016.</w:t>
      </w:r>
    </w:p>
    <w:p w14:paraId="5F6963A4" w14:textId="77777777" w:rsidR="0064020F" w:rsidRDefault="0064020F" w:rsidP="0064020F">
      <w:pPr>
        <w:jc w:val="both"/>
        <w:rPr>
          <w:rFonts w:ascii="Arial" w:hAnsi="Arial" w:cs="Arial"/>
        </w:rPr>
      </w:pPr>
    </w:p>
    <w:p w14:paraId="69206C95" w14:textId="77777777" w:rsidR="0064020F" w:rsidRDefault="0064020F" w:rsidP="0064020F">
      <w:pPr>
        <w:jc w:val="both"/>
        <w:rPr>
          <w:rFonts w:ascii="Arial" w:hAnsi="Arial" w:cs="Arial"/>
        </w:rPr>
      </w:pPr>
      <w:r w:rsidRPr="00951E96">
        <w:rPr>
          <w:rFonts w:ascii="Arial" w:hAnsi="Arial" w:cs="Arial"/>
        </w:rPr>
        <w:t>Dokument uvádza v zaužívanej štruktúre s rozdelením na dopravnú, tarifná a informačnú časť prehľady o novinách a zmenách zavedených v roku 2016 a taktiež, najmä v tarifnej oblasti, prináša prehľady o dopravných výkonoch, počtoch predaných cestovných lístkov a ich rozdelení, ako aj o tržbách IDS BK. Údaje, ktoré bolo možno úplne alebo čiastočne porovnať s predchádzajúcim obdobím sú v grafoch rozdelené po jednotlivých rokoch od vzniku IDS BK. Keďže rok 2016 bol prvým rokom komplexného fungovania IDS BK po tarifnej stránke, plnohodnotné porovnanie bude možné sledovať až v ďalších obdobiach.</w:t>
      </w:r>
    </w:p>
    <w:p w14:paraId="1BF28073" w14:textId="77777777" w:rsidR="0064020F" w:rsidRDefault="0064020F" w:rsidP="0064020F">
      <w:pPr>
        <w:jc w:val="both"/>
        <w:rPr>
          <w:rFonts w:ascii="Arial" w:hAnsi="Arial" w:cs="Arial"/>
        </w:rPr>
      </w:pPr>
    </w:p>
    <w:p w14:paraId="413679F8" w14:textId="77777777" w:rsidR="0064020F" w:rsidRPr="00EC4015" w:rsidRDefault="0064020F" w:rsidP="0064020F">
      <w:pPr>
        <w:jc w:val="both"/>
        <w:rPr>
          <w:rFonts w:ascii="Arial" w:hAnsi="Arial" w:cs="Arial"/>
        </w:rPr>
      </w:pPr>
      <w:r w:rsidRPr="00EC4015">
        <w:rPr>
          <w:rFonts w:ascii="Arial" w:hAnsi="Arial" w:cs="Arial"/>
        </w:rPr>
        <w:t>Základnou úlohou koordinátora je priebežne monitorovať nastavenie celého systému IDS a v prípade zistenia akejkoľvek disproporcie zabezpečiť analýzu a riešenie vzniknutého stavu.</w:t>
      </w:r>
    </w:p>
    <w:p w14:paraId="61F1EFCA" w14:textId="77777777" w:rsidR="0064020F" w:rsidRDefault="0064020F" w:rsidP="0064020F">
      <w:pPr>
        <w:jc w:val="both"/>
        <w:rPr>
          <w:rFonts w:ascii="Arial" w:hAnsi="Arial" w:cs="Arial"/>
        </w:rPr>
      </w:pPr>
      <w:r w:rsidRPr="00EC4015">
        <w:rPr>
          <w:rFonts w:ascii="Arial" w:hAnsi="Arial" w:cs="Arial"/>
        </w:rPr>
        <w:t>Nastavenie systému bolo zo strany spoločnosti BID</w:t>
      </w:r>
      <w:r>
        <w:rPr>
          <w:rFonts w:ascii="Arial" w:hAnsi="Arial" w:cs="Arial"/>
        </w:rPr>
        <w:t>, a. s.</w:t>
      </w:r>
      <w:r w:rsidRPr="00EC4015">
        <w:rPr>
          <w:rFonts w:ascii="Arial" w:hAnsi="Arial" w:cs="Arial"/>
        </w:rPr>
        <w:t xml:space="preserve"> podrobne analyzované a v decembri 2016 bol predstavený aj konkrétny návrh na zmenu v systéme deľby tržieb. Analýza bola vypracovaná aj na základe </w:t>
      </w:r>
      <w:r w:rsidRPr="00EC4015">
        <w:rPr>
          <w:rFonts w:ascii="Arial" w:hAnsi="Arial" w:cs="Arial"/>
          <w:i/>
        </w:rPr>
        <w:t>Zmluvy o podmienkach prepravy a činností súvisiacich s prevádzkou Integrovaného dopravného systému v Bratislavskom kraji</w:t>
      </w:r>
      <w:r w:rsidRPr="00EC4015">
        <w:rPr>
          <w:rFonts w:ascii="Arial" w:hAnsi="Arial" w:cs="Arial"/>
        </w:rPr>
        <w:t>, uzatvorenou medzi koordinátorom IDS BK a jednotlivými dopravcami. Na základe tejto zmluvy má BID</w:t>
      </w:r>
      <w:r>
        <w:rPr>
          <w:rFonts w:ascii="Arial" w:hAnsi="Arial" w:cs="Arial"/>
        </w:rPr>
        <w:t>, a. s.</w:t>
      </w:r>
      <w:r w:rsidRPr="00EC4015">
        <w:rPr>
          <w:rFonts w:ascii="Arial" w:hAnsi="Arial" w:cs="Arial"/>
        </w:rPr>
        <w:t xml:space="preserve"> povinnosť raz ročne prehodnocovať nastavenie parametrov, vstupujúcich do deľby tržieb v IDS BK. </w:t>
      </w:r>
    </w:p>
    <w:p w14:paraId="19890A47" w14:textId="77777777" w:rsidR="0064020F" w:rsidRDefault="0064020F" w:rsidP="0064020F">
      <w:pPr>
        <w:jc w:val="both"/>
        <w:rPr>
          <w:rFonts w:ascii="Arial" w:hAnsi="Arial" w:cs="Arial"/>
        </w:rPr>
      </w:pPr>
    </w:p>
    <w:p w14:paraId="395BFCDE" w14:textId="77777777" w:rsidR="0064020F" w:rsidRDefault="0064020F" w:rsidP="0064020F">
      <w:pPr>
        <w:jc w:val="both"/>
        <w:rPr>
          <w:rFonts w:ascii="Arial" w:hAnsi="Arial" w:cs="Arial"/>
        </w:rPr>
      </w:pPr>
      <w:r w:rsidRPr="00EC4015">
        <w:rPr>
          <w:rFonts w:ascii="Arial" w:hAnsi="Arial" w:cs="Arial"/>
        </w:rPr>
        <w:t>BID</w:t>
      </w:r>
      <w:r>
        <w:rPr>
          <w:rFonts w:ascii="Arial" w:hAnsi="Arial" w:cs="Arial"/>
        </w:rPr>
        <w:t>, a. s.</w:t>
      </w:r>
      <w:r w:rsidRPr="00EC4015">
        <w:rPr>
          <w:rFonts w:ascii="Arial" w:hAnsi="Arial" w:cs="Arial"/>
        </w:rPr>
        <w:t xml:space="preserve"> ako koordinátor analýzou koeficientov deľby tržieb zistil, že nastavenie systému pre deľbu tržieb nebolo optimálne. Ako sa na základe údajov z reálnej prevádzky ukázalo, pevne stanovený </w:t>
      </w:r>
      <w:r w:rsidRPr="00EC4015">
        <w:rPr>
          <w:rFonts w:ascii="Arial" w:hAnsi="Arial" w:cs="Arial"/>
          <w:b/>
        </w:rPr>
        <w:t>podiel pre zóny 100+101 z jednorazových štyri a viac zónových adresných cestovných lístkov</w:t>
      </w:r>
      <w:r w:rsidRPr="00EC4015">
        <w:rPr>
          <w:rFonts w:ascii="Arial" w:hAnsi="Arial" w:cs="Arial"/>
        </w:rPr>
        <w:t xml:space="preserve">, nebol pred III. etapou nastavený spravodlivo (1,00€ pre zóny 100+101). </w:t>
      </w:r>
      <w:r>
        <w:rPr>
          <w:rFonts w:ascii="Arial" w:hAnsi="Arial" w:cs="Arial"/>
        </w:rPr>
        <w:t>S</w:t>
      </w:r>
      <w:r w:rsidRPr="00EC4015">
        <w:rPr>
          <w:rFonts w:ascii="Arial" w:hAnsi="Arial" w:cs="Arial"/>
        </w:rPr>
        <w:t xml:space="preserve">poločnosť </w:t>
      </w:r>
      <w:r>
        <w:rPr>
          <w:rFonts w:ascii="Arial" w:hAnsi="Arial" w:cs="Arial"/>
        </w:rPr>
        <w:t xml:space="preserve">BID, a. s. </w:t>
      </w:r>
      <w:r w:rsidRPr="00EC4015">
        <w:rPr>
          <w:rFonts w:ascii="Arial" w:hAnsi="Arial" w:cs="Arial"/>
        </w:rPr>
        <w:t>zo skutočných údajov z predaja cestovných lístkov a teda aj z využívania cestovných lístkov vypočítala, že priemerná cena jednej jazdy realizovanej na jednorazový cestovný lístok v Bratislave (teda v zóne 100+101) zodpovedá hodnote 0,81€ (a nie hodnote 1,00€</w:t>
      </w:r>
      <w:r w:rsidRPr="00EC4015">
        <w:rPr>
          <w:rStyle w:val="Odkaznapoznmkupodiarou"/>
          <w:rFonts w:ascii="Arial" w:hAnsi="Arial" w:cs="Arial"/>
        </w:rPr>
        <w:footnoteReference w:id="1"/>
      </w:r>
      <w:r w:rsidRPr="00EC4015">
        <w:rPr>
          <w:rFonts w:ascii="Arial" w:hAnsi="Arial" w:cs="Arial"/>
        </w:rPr>
        <w:t>, ktorá bola stanovená pred spustením III. etapy IDS BK). Keďže v uvedenej problematike nemá spoločnosť BID</w:t>
      </w:r>
      <w:r>
        <w:rPr>
          <w:rFonts w:ascii="Arial" w:hAnsi="Arial" w:cs="Arial"/>
        </w:rPr>
        <w:t>, a. s.</w:t>
      </w:r>
      <w:r w:rsidRPr="00EC4015">
        <w:rPr>
          <w:rFonts w:ascii="Arial" w:hAnsi="Arial" w:cs="Arial"/>
        </w:rPr>
        <w:t xml:space="preserve"> rozhodovaciu právomoc, spracovala výpočet dopadov na prerozdelenie tržieb v troch variantoch</w:t>
      </w:r>
      <w:r>
        <w:rPr>
          <w:rFonts w:ascii="Arial" w:hAnsi="Arial" w:cs="Arial"/>
        </w:rPr>
        <w:t>.</w:t>
      </w:r>
    </w:p>
    <w:p w14:paraId="19009789" w14:textId="5A2B8790" w:rsidR="0064020F" w:rsidRDefault="0064020F" w:rsidP="0064020F">
      <w:pPr>
        <w:jc w:val="both"/>
        <w:rPr>
          <w:rFonts w:ascii="Arial" w:hAnsi="Arial" w:cs="Arial"/>
        </w:rPr>
      </w:pPr>
    </w:p>
    <w:p w14:paraId="52FC9493" w14:textId="77777777" w:rsidR="0064020F" w:rsidRDefault="0064020F" w:rsidP="0064020F">
      <w:pPr>
        <w:jc w:val="both"/>
        <w:rPr>
          <w:rFonts w:ascii="Arial" w:hAnsi="Arial" w:cs="Arial"/>
        </w:rPr>
      </w:pPr>
    </w:p>
    <w:p w14:paraId="46C20FCD" w14:textId="77777777" w:rsidR="0064020F" w:rsidRDefault="0064020F" w:rsidP="0064020F">
      <w:pPr>
        <w:jc w:val="both"/>
        <w:rPr>
          <w:rFonts w:ascii="Arial" w:hAnsi="Arial" w:cs="Arial"/>
          <w:b/>
        </w:rPr>
      </w:pPr>
    </w:p>
    <w:p w14:paraId="1DE50BAF" w14:textId="77777777" w:rsidR="0064020F" w:rsidRDefault="0064020F" w:rsidP="0064020F">
      <w:pPr>
        <w:jc w:val="both"/>
        <w:rPr>
          <w:rFonts w:ascii="Arial" w:hAnsi="Arial" w:cs="Arial"/>
          <w:b/>
        </w:rPr>
      </w:pPr>
      <w:r w:rsidRPr="00F57183">
        <w:rPr>
          <w:rFonts w:ascii="Arial" w:hAnsi="Arial" w:cs="Arial"/>
          <w:b/>
        </w:rPr>
        <w:t>Variant 1 – podiel 0,85€ pre zóny 100+101</w:t>
      </w:r>
    </w:p>
    <w:p w14:paraId="76FDF4BD" w14:textId="77777777" w:rsidR="0064020F" w:rsidRPr="00F57183" w:rsidRDefault="0064020F" w:rsidP="0064020F">
      <w:pPr>
        <w:jc w:val="both"/>
        <w:rPr>
          <w:rFonts w:ascii="Arial" w:hAnsi="Arial" w:cs="Arial"/>
          <w:b/>
        </w:rPr>
      </w:pPr>
    </w:p>
    <w:tbl>
      <w:tblPr>
        <w:tblW w:w="835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117"/>
        <w:gridCol w:w="2117"/>
        <w:gridCol w:w="2268"/>
        <w:gridCol w:w="1852"/>
      </w:tblGrid>
      <w:tr w:rsidR="0064020F" w:rsidRPr="00F57183" w14:paraId="128DFA98" w14:textId="77777777" w:rsidTr="00CD6C88">
        <w:trPr>
          <w:trHeight w:val="300"/>
          <w:jc w:val="center"/>
        </w:trPr>
        <w:tc>
          <w:tcPr>
            <w:tcW w:w="2117" w:type="dxa"/>
            <w:shd w:val="clear" w:color="000000" w:fill="CCCCCC"/>
          </w:tcPr>
          <w:p w14:paraId="07A2F165" w14:textId="77777777" w:rsidR="0064020F" w:rsidRPr="00F57183" w:rsidRDefault="0064020F" w:rsidP="00CD6C88">
            <w:pPr>
              <w:pStyle w:val="Tabuka-hlavika"/>
              <w:jc w:val="both"/>
              <w:rPr>
                <w:rFonts w:ascii="Arial" w:hAnsi="Arial" w:cs="Arial"/>
              </w:rPr>
            </w:pPr>
            <w:r w:rsidRPr="00F57183">
              <w:rPr>
                <w:rFonts w:ascii="Arial" w:hAnsi="Arial" w:cs="Arial"/>
              </w:rPr>
              <w:t>Dopravca</w:t>
            </w:r>
          </w:p>
        </w:tc>
        <w:tc>
          <w:tcPr>
            <w:tcW w:w="2117" w:type="dxa"/>
            <w:shd w:val="clear" w:color="000000" w:fill="CCCCCC"/>
            <w:vAlign w:val="center"/>
            <w:hideMark/>
          </w:tcPr>
          <w:p w14:paraId="1113778D" w14:textId="77777777" w:rsidR="0064020F" w:rsidRPr="00F57183" w:rsidRDefault="0064020F" w:rsidP="00CD6C88">
            <w:pPr>
              <w:pStyle w:val="Tabuka-hlavika"/>
              <w:jc w:val="both"/>
              <w:rPr>
                <w:rFonts w:ascii="Arial" w:hAnsi="Arial" w:cs="Arial"/>
              </w:rPr>
            </w:pPr>
            <w:r w:rsidRPr="00F57183">
              <w:rPr>
                <w:rFonts w:ascii="Arial" w:hAnsi="Arial" w:cs="Arial"/>
              </w:rPr>
              <w:t>ZSSK</w:t>
            </w:r>
          </w:p>
        </w:tc>
        <w:tc>
          <w:tcPr>
            <w:tcW w:w="2268" w:type="dxa"/>
            <w:shd w:val="clear" w:color="000000" w:fill="CCCCCC"/>
            <w:vAlign w:val="center"/>
            <w:hideMark/>
          </w:tcPr>
          <w:p w14:paraId="32DE171E" w14:textId="77777777" w:rsidR="0064020F" w:rsidRPr="00F57183" w:rsidRDefault="0064020F" w:rsidP="00CD6C88">
            <w:pPr>
              <w:pStyle w:val="Tabuka-hlavika"/>
              <w:jc w:val="both"/>
              <w:rPr>
                <w:rFonts w:ascii="Arial" w:hAnsi="Arial" w:cs="Arial"/>
              </w:rPr>
            </w:pPr>
            <w:r w:rsidRPr="00F57183">
              <w:rPr>
                <w:rFonts w:ascii="Arial" w:hAnsi="Arial" w:cs="Arial"/>
              </w:rPr>
              <w:t xml:space="preserve">Slovak </w:t>
            </w:r>
            <w:proofErr w:type="spellStart"/>
            <w:r w:rsidRPr="00F57183">
              <w:rPr>
                <w:rFonts w:ascii="Arial" w:hAnsi="Arial" w:cs="Arial"/>
              </w:rPr>
              <w:t>Lines</w:t>
            </w:r>
            <w:proofErr w:type="spellEnd"/>
          </w:p>
        </w:tc>
        <w:tc>
          <w:tcPr>
            <w:tcW w:w="1852" w:type="dxa"/>
            <w:shd w:val="clear" w:color="000000" w:fill="CCCCCC"/>
            <w:vAlign w:val="center"/>
          </w:tcPr>
          <w:p w14:paraId="0D29AAE6" w14:textId="77777777" w:rsidR="0064020F" w:rsidRPr="00F57183" w:rsidRDefault="0064020F" w:rsidP="00CD6C88">
            <w:pPr>
              <w:pStyle w:val="Tabuka-hlavika"/>
              <w:jc w:val="both"/>
              <w:rPr>
                <w:rFonts w:ascii="Arial" w:hAnsi="Arial" w:cs="Arial"/>
              </w:rPr>
            </w:pPr>
            <w:r w:rsidRPr="00F57183">
              <w:rPr>
                <w:rFonts w:ascii="Arial" w:hAnsi="Arial" w:cs="Arial"/>
              </w:rPr>
              <w:t>DPB</w:t>
            </w:r>
          </w:p>
        </w:tc>
      </w:tr>
      <w:tr w:rsidR="0064020F" w:rsidRPr="00F57183" w14:paraId="751C6741" w14:textId="77777777" w:rsidTr="00CD6C88">
        <w:trPr>
          <w:trHeight w:val="300"/>
          <w:jc w:val="center"/>
        </w:trPr>
        <w:tc>
          <w:tcPr>
            <w:tcW w:w="2117" w:type="dxa"/>
            <w:shd w:val="clear" w:color="000000" w:fill="E6E6E6"/>
          </w:tcPr>
          <w:p w14:paraId="6BD3662B" w14:textId="77777777" w:rsidR="0064020F" w:rsidRPr="00F57183" w:rsidRDefault="0064020F" w:rsidP="00CD6C88">
            <w:pPr>
              <w:pStyle w:val="Tabuka-hodnotyL"/>
              <w:jc w:val="both"/>
              <w:rPr>
                <w:rFonts w:ascii="Arial" w:hAnsi="Arial" w:cs="Arial"/>
              </w:rPr>
            </w:pPr>
            <w:r w:rsidRPr="00F57183">
              <w:rPr>
                <w:rFonts w:ascii="Arial" w:hAnsi="Arial" w:cs="Arial"/>
              </w:rPr>
              <w:t>Variant 1</w:t>
            </w:r>
          </w:p>
        </w:tc>
        <w:tc>
          <w:tcPr>
            <w:tcW w:w="2117" w:type="dxa"/>
            <w:shd w:val="clear" w:color="000000" w:fill="E6E6E6"/>
            <w:vAlign w:val="center"/>
            <w:hideMark/>
          </w:tcPr>
          <w:p w14:paraId="28036E5E" w14:textId="77777777" w:rsidR="0064020F" w:rsidRPr="00F57183" w:rsidRDefault="0064020F" w:rsidP="00CD6C88">
            <w:pPr>
              <w:pStyle w:val="Tabuka-hodnotyP"/>
              <w:jc w:val="both"/>
              <w:rPr>
                <w:rFonts w:ascii="Arial" w:hAnsi="Arial" w:cs="Arial"/>
              </w:rPr>
            </w:pPr>
            <w:r w:rsidRPr="00F57183">
              <w:rPr>
                <w:rFonts w:ascii="Arial" w:hAnsi="Arial" w:cs="Arial"/>
              </w:rPr>
              <w:t>+28 125 €</w:t>
            </w:r>
          </w:p>
        </w:tc>
        <w:tc>
          <w:tcPr>
            <w:tcW w:w="2268" w:type="dxa"/>
            <w:shd w:val="clear" w:color="000000" w:fill="E6E6E6"/>
            <w:vAlign w:val="center"/>
            <w:hideMark/>
          </w:tcPr>
          <w:p w14:paraId="26ADD19C" w14:textId="77777777" w:rsidR="0064020F" w:rsidRPr="00F57183" w:rsidRDefault="0064020F" w:rsidP="00CD6C88">
            <w:pPr>
              <w:pStyle w:val="Tabuka-hodnotyP"/>
              <w:jc w:val="both"/>
              <w:rPr>
                <w:rFonts w:ascii="Arial" w:hAnsi="Arial" w:cs="Arial"/>
              </w:rPr>
            </w:pPr>
            <w:r w:rsidRPr="00F57183">
              <w:rPr>
                <w:rFonts w:ascii="Arial" w:hAnsi="Arial" w:cs="Arial"/>
              </w:rPr>
              <w:t>+254 752 €</w:t>
            </w:r>
          </w:p>
        </w:tc>
        <w:tc>
          <w:tcPr>
            <w:tcW w:w="1852" w:type="dxa"/>
            <w:shd w:val="clear" w:color="000000" w:fill="E6E6E6"/>
            <w:vAlign w:val="center"/>
          </w:tcPr>
          <w:p w14:paraId="754F0FC1" w14:textId="77777777" w:rsidR="0064020F" w:rsidRPr="00F57183" w:rsidRDefault="0064020F" w:rsidP="00CD6C88">
            <w:pPr>
              <w:pStyle w:val="Tabuka-hodnotyP"/>
              <w:jc w:val="both"/>
              <w:rPr>
                <w:rFonts w:ascii="Arial" w:hAnsi="Arial" w:cs="Arial"/>
              </w:rPr>
            </w:pPr>
            <w:r w:rsidRPr="00F57183">
              <w:rPr>
                <w:rFonts w:ascii="Arial" w:hAnsi="Arial" w:cs="Arial"/>
              </w:rPr>
              <w:t>-282 877 €</w:t>
            </w:r>
          </w:p>
        </w:tc>
      </w:tr>
    </w:tbl>
    <w:p w14:paraId="5DB22A76" w14:textId="77777777" w:rsidR="0064020F" w:rsidRDefault="0064020F" w:rsidP="0064020F">
      <w:pPr>
        <w:jc w:val="both"/>
        <w:rPr>
          <w:rFonts w:ascii="Arial" w:hAnsi="Arial" w:cs="Arial"/>
          <w:b/>
        </w:rPr>
      </w:pPr>
    </w:p>
    <w:p w14:paraId="1713E8D5" w14:textId="77777777" w:rsidR="0064020F" w:rsidRDefault="0064020F" w:rsidP="0064020F">
      <w:pPr>
        <w:jc w:val="both"/>
        <w:rPr>
          <w:rFonts w:ascii="Arial" w:hAnsi="Arial" w:cs="Arial"/>
          <w:b/>
        </w:rPr>
      </w:pPr>
      <w:r w:rsidRPr="00F57183">
        <w:rPr>
          <w:rFonts w:ascii="Arial" w:hAnsi="Arial" w:cs="Arial"/>
          <w:b/>
        </w:rPr>
        <w:t>Variant 2 – podiel 0,80€ pre zóny 100+101</w:t>
      </w:r>
    </w:p>
    <w:p w14:paraId="71D7DF6F" w14:textId="77777777" w:rsidR="0064020F" w:rsidRPr="00F57183" w:rsidRDefault="0064020F" w:rsidP="0064020F">
      <w:pPr>
        <w:jc w:val="both"/>
        <w:rPr>
          <w:rFonts w:ascii="Arial" w:hAnsi="Arial" w:cs="Arial"/>
          <w:b/>
        </w:rPr>
      </w:pPr>
    </w:p>
    <w:tbl>
      <w:tblPr>
        <w:tblW w:w="835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117"/>
        <w:gridCol w:w="2117"/>
        <w:gridCol w:w="2268"/>
        <w:gridCol w:w="1852"/>
      </w:tblGrid>
      <w:tr w:rsidR="0064020F" w:rsidRPr="00F57183" w14:paraId="591A9E60" w14:textId="77777777" w:rsidTr="00CD6C88">
        <w:trPr>
          <w:trHeight w:val="300"/>
          <w:jc w:val="center"/>
        </w:trPr>
        <w:tc>
          <w:tcPr>
            <w:tcW w:w="2117" w:type="dxa"/>
            <w:shd w:val="clear" w:color="000000" w:fill="CCCCCC"/>
          </w:tcPr>
          <w:p w14:paraId="01A39E0A" w14:textId="77777777" w:rsidR="0064020F" w:rsidRPr="00F57183" w:rsidRDefault="0064020F" w:rsidP="00CD6C88">
            <w:pPr>
              <w:pStyle w:val="Tabuka-hlavika"/>
              <w:jc w:val="both"/>
              <w:rPr>
                <w:rFonts w:ascii="Arial" w:hAnsi="Arial" w:cs="Arial"/>
              </w:rPr>
            </w:pPr>
            <w:r w:rsidRPr="00F57183">
              <w:rPr>
                <w:rFonts w:ascii="Arial" w:hAnsi="Arial" w:cs="Arial"/>
              </w:rPr>
              <w:t>Dopravca</w:t>
            </w:r>
          </w:p>
        </w:tc>
        <w:tc>
          <w:tcPr>
            <w:tcW w:w="2117" w:type="dxa"/>
            <w:shd w:val="clear" w:color="000000" w:fill="CCCCCC"/>
            <w:vAlign w:val="center"/>
            <w:hideMark/>
          </w:tcPr>
          <w:p w14:paraId="7CF28AB8" w14:textId="77777777" w:rsidR="0064020F" w:rsidRPr="00F57183" w:rsidRDefault="0064020F" w:rsidP="00CD6C88">
            <w:pPr>
              <w:pStyle w:val="Tabuka-hlavika"/>
              <w:jc w:val="both"/>
              <w:rPr>
                <w:rFonts w:ascii="Arial" w:hAnsi="Arial" w:cs="Arial"/>
              </w:rPr>
            </w:pPr>
            <w:r w:rsidRPr="00F57183">
              <w:rPr>
                <w:rFonts w:ascii="Arial" w:hAnsi="Arial" w:cs="Arial"/>
              </w:rPr>
              <w:t>ZSSK</w:t>
            </w:r>
          </w:p>
        </w:tc>
        <w:tc>
          <w:tcPr>
            <w:tcW w:w="2268" w:type="dxa"/>
            <w:shd w:val="clear" w:color="000000" w:fill="CCCCCC"/>
            <w:vAlign w:val="center"/>
            <w:hideMark/>
          </w:tcPr>
          <w:p w14:paraId="7FC0B1AC" w14:textId="77777777" w:rsidR="0064020F" w:rsidRPr="00F57183" w:rsidRDefault="0064020F" w:rsidP="00CD6C88">
            <w:pPr>
              <w:pStyle w:val="Tabuka-hlavika"/>
              <w:jc w:val="both"/>
              <w:rPr>
                <w:rFonts w:ascii="Arial" w:hAnsi="Arial" w:cs="Arial"/>
              </w:rPr>
            </w:pPr>
            <w:r w:rsidRPr="00F57183">
              <w:rPr>
                <w:rFonts w:ascii="Arial" w:hAnsi="Arial" w:cs="Arial"/>
              </w:rPr>
              <w:t xml:space="preserve">Slovak </w:t>
            </w:r>
            <w:proofErr w:type="spellStart"/>
            <w:r w:rsidRPr="00F57183">
              <w:rPr>
                <w:rFonts w:ascii="Arial" w:hAnsi="Arial" w:cs="Arial"/>
              </w:rPr>
              <w:t>Lines</w:t>
            </w:r>
            <w:proofErr w:type="spellEnd"/>
          </w:p>
        </w:tc>
        <w:tc>
          <w:tcPr>
            <w:tcW w:w="1852" w:type="dxa"/>
            <w:shd w:val="clear" w:color="000000" w:fill="CCCCCC"/>
            <w:vAlign w:val="center"/>
          </w:tcPr>
          <w:p w14:paraId="1E6D1064" w14:textId="77777777" w:rsidR="0064020F" w:rsidRPr="00F57183" w:rsidRDefault="0064020F" w:rsidP="00CD6C88">
            <w:pPr>
              <w:pStyle w:val="Tabuka-hlavika"/>
              <w:jc w:val="both"/>
              <w:rPr>
                <w:rFonts w:ascii="Arial" w:hAnsi="Arial" w:cs="Arial"/>
              </w:rPr>
            </w:pPr>
            <w:r w:rsidRPr="00F57183">
              <w:rPr>
                <w:rFonts w:ascii="Arial" w:hAnsi="Arial" w:cs="Arial"/>
              </w:rPr>
              <w:t>DPB</w:t>
            </w:r>
          </w:p>
        </w:tc>
      </w:tr>
      <w:tr w:rsidR="0064020F" w:rsidRPr="00F57183" w14:paraId="4E077A4E" w14:textId="77777777" w:rsidTr="00CD6C88">
        <w:trPr>
          <w:trHeight w:val="300"/>
          <w:jc w:val="center"/>
        </w:trPr>
        <w:tc>
          <w:tcPr>
            <w:tcW w:w="2117" w:type="dxa"/>
            <w:shd w:val="clear" w:color="000000" w:fill="E6E6E6"/>
          </w:tcPr>
          <w:p w14:paraId="6D3A9EBE" w14:textId="77777777" w:rsidR="0064020F" w:rsidRPr="00F57183" w:rsidRDefault="0064020F" w:rsidP="00CD6C88">
            <w:pPr>
              <w:pStyle w:val="Tabuka-hodnotyL"/>
              <w:jc w:val="both"/>
              <w:rPr>
                <w:rFonts w:ascii="Arial" w:hAnsi="Arial" w:cs="Arial"/>
              </w:rPr>
            </w:pPr>
            <w:r w:rsidRPr="00F57183">
              <w:rPr>
                <w:rFonts w:ascii="Arial" w:hAnsi="Arial" w:cs="Arial"/>
              </w:rPr>
              <w:t>Variant 2</w:t>
            </w:r>
          </w:p>
        </w:tc>
        <w:tc>
          <w:tcPr>
            <w:tcW w:w="2117" w:type="dxa"/>
            <w:shd w:val="clear" w:color="000000" w:fill="E6E6E6"/>
            <w:vAlign w:val="center"/>
            <w:hideMark/>
          </w:tcPr>
          <w:p w14:paraId="7CE8BF01" w14:textId="77777777" w:rsidR="0064020F" w:rsidRPr="00F57183" w:rsidRDefault="0064020F" w:rsidP="00CD6C88">
            <w:pPr>
              <w:pStyle w:val="Tabuka-hodnotyP"/>
              <w:jc w:val="both"/>
              <w:rPr>
                <w:rFonts w:ascii="Arial" w:hAnsi="Arial" w:cs="Arial"/>
              </w:rPr>
            </w:pPr>
            <w:r w:rsidRPr="00F57183">
              <w:rPr>
                <w:rFonts w:ascii="Arial" w:hAnsi="Arial" w:cs="Arial"/>
              </w:rPr>
              <w:t>+38 083 €</w:t>
            </w:r>
          </w:p>
        </w:tc>
        <w:tc>
          <w:tcPr>
            <w:tcW w:w="2268" w:type="dxa"/>
            <w:shd w:val="clear" w:color="000000" w:fill="E6E6E6"/>
            <w:vAlign w:val="center"/>
            <w:hideMark/>
          </w:tcPr>
          <w:p w14:paraId="07F47D6E" w14:textId="77777777" w:rsidR="0064020F" w:rsidRPr="00F57183" w:rsidRDefault="0064020F" w:rsidP="00CD6C88">
            <w:pPr>
              <w:pStyle w:val="Tabuka-hodnotyP"/>
              <w:jc w:val="both"/>
              <w:rPr>
                <w:rFonts w:ascii="Arial" w:hAnsi="Arial" w:cs="Arial"/>
              </w:rPr>
            </w:pPr>
            <w:r w:rsidRPr="00F57183">
              <w:rPr>
                <w:rFonts w:ascii="Arial" w:hAnsi="Arial" w:cs="Arial"/>
              </w:rPr>
              <w:t>+345 111 €</w:t>
            </w:r>
          </w:p>
        </w:tc>
        <w:tc>
          <w:tcPr>
            <w:tcW w:w="1852" w:type="dxa"/>
            <w:shd w:val="clear" w:color="000000" w:fill="E6E6E6"/>
            <w:vAlign w:val="center"/>
          </w:tcPr>
          <w:p w14:paraId="497CA660" w14:textId="77777777" w:rsidR="0064020F" w:rsidRPr="00F57183" w:rsidRDefault="0064020F" w:rsidP="00CD6C88">
            <w:pPr>
              <w:pStyle w:val="Tabuka-hodnotyP"/>
              <w:jc w:val="both"/>
              <w:rPr>
                <w:rFonts w:ascii="Arial" w:hAnsi="Arial" w:cs="Arial"/>
              </w:rPr>
            </w:pPr>
            <w:r w:rsidRPr="00F57183">
              <w:rPr>
                <w:rFonts w:ascii="Arial" w:hAnsi="Arial" w:cs="Arial"/>
              </w:rPr>
              <w:t>-383 194 €</w:t>
            </w:r>
          </w:p>
        </w:tc>
      </w:tr>
    </w:tbl>
    <w:p w14:paraId="0FEBDC7A" w14:textId="77777777" w:rsidR="0064020F" w:rsidRPr="00F57183" w:rsidRDefault="0064020F" w:rsidP="0064020F">
      <w:pPr>
        <w:jc w:val="both"/>
        <w:rPr>
          <w:rFonts w:ascii="Arial" w:hAnsi="Arial" w:cs="Arial"/>
          <w:b/>
        </w:rPr>
      </w:pPr>
    </w:p>
    <w:p w14:paraId="6675FB80" w14:textId="77777777" w:rsidR="0064020F" w:rsidRDefault="0064020F" w:rsidP="0064020F">
      <w:pPr>
        <w:jc w:val="both"/>
        <w:rPr>
          <w:rFonts w:ascii="Arial" w:hAnsi="Arial" w:cs="Arial"/>
          <w:b/>
        </w:rPr>
      </w:pPr>
      <w:r w:rsidRPr="00F57183">
        <w:rPr>
          <w:rFonts w:ascii="Arial" w:hAnsi="Arial" w:cs="Arial"/>
          <w:b/>
        </w:rPr>
        <w:t>Variant 3 – podiel 0,75€ pre zóny 100+101</w:t>
      </w:r>
    </w:p>
    <w:p w14:paraId="573E4CC4" w14:textId="77777777" w:rsidR="0064020F" w:rsidRPr="00F57183" w:rsidRDefault="0064020F" w:rsidP="0064020F">
      <w:pPr>
        <w:jc w:val="both"/>
        <w:rPr>
          <w:rFonts w:ascii="Arial" w:hAnsi="Arial" w:cs="Arial"/>
          <w:b/>
        </w:rPr>
      </w:pPr>
    </w:p>
    <w:tbl>
      <w:tblPr>
        <w:tblW w:w="835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117"/>
        <w:gridCol w:w="2117"/>
        <w:gridCol w:w="2268"/>
        <w:gridCol w:w="1852"/>
      </w:tblGrid>
      <w:tr w:rsidR="0064020F" w:rsidRPr="00F57183" w14:paraId="68FF9387" w14:textId="77777777" w:rsidTr="00CD6C88">
        <w:trPr>
          <w:trHeight w:val="300"/>
          <w:jc w:val="center"/>
        </w:trPr>
        <w:tc>
          <w:tcPr>
            <w:tcW w:w="2117" w:type="dxa"/>
            <w:shd w:val="clear" w:color="000000" w:fill="CCCCCC"/>
          </w:tcPr>
          <w:p w14:paraId="0C13F14B" w14:textId="77777777" w:rsidR="0064020F" w:rsidRPr="00F57183" w:rsidRDefault="0064020F" w:rsidP="00CD6C88">
            <w:pPr>
              <w:pStyle w:val="Tabuka-hlavika"/>
              <w:jc w:val="both"/>
              <w:rPr>
                <w:rFonts w:ascii="Arial" w:hAnsi="Arial" w:cs="Arial"/>
              </w:rPr>
            </w:pPr>
            <w:r w:rsidRPr="00F57183">
              <w:rPr>
                <w:rFonts w:ascii="Arial" w:hAnsi="Arial" w:cs="Arial"/>
              </w:rPr>
              <w:t>Dopravca</w:t>
            </w:r>
          </w:p>
        </w:tc>
        <w:tc>
          <w:tcPr>
            <w:tcW w:w="2117" w:type="dxa"/>
            <w:shd w:val="clear" w:color="000000" w:fill="CCCCCC"/>
            <w:vAlign w:val="center"/>
            <w:hideMark/>
          </w:tcPr>
          <w:p w14:paraId="741C87E9" w14:textId="77777777" w:rsidR="0064020F" w:rsidRPr="00F57183" w:rsidRDefault="0064020F" w:rsidP="00CD6C88">
            <w:pPr>
              <w:pStyle w:val="Tabuka-hlavika"/>
              <w:jc w:val="both"/>
              <w:rPr>
                <w:rFonts w:ascii="Arial" w:hAnsi="Arial" w:cs="Arial"/>
              </w:rPr>
            </w:pPr>
            <w:r w:rsidRPr="00F57183">
              <w:rPr>
                <w:rFonts w:ascii="Arial" w:hAnsi="Arial" w:cs="Arial"/>
              </w:rPr>
              <w:t>ZSSK</w:t>
            </w:r>
          </w:p>
        </w:tc>
        <w:tc>
          <w:tcPr>
            <w:tcW w:w="2268" w:type="dxa"/>
            <w:shd w:val="clear" w:color="000000" w:fill="CCCCCC"/>
            <w:vAlign w:val="center"/>
            <w:hideMark/>
          </w:tcPr>
          <w:p w14:paraId="0596E24B" w14:textId="77777777" w:rsidR="0064020F" w:rsidRPr="00F57183" w:rsidRDefault="0064020F" w:rsidP="00CD6C88">
            <w:pPr>
              <w:pStyle w:val="Tabuka-hlavika"/>
              <w:jc w:val="both"/>
              <w:rPr>
                <w:rFonts w:ascii="Arial" w:hAnsi="Arial" w:cs="Arial"/>
              </w:rPr>
            </w:pPr>
            <w:r w:rsidRPr="00F57183">
              <w:rPr>
                <w:rFonts w:ascii="Arial" w:hAnsi="Arial" w:cs="Arial"/>
              </w:rPr>
              <w:t xml:space="preserve">Slovak </w:t>
            </w:r>
            <w:proofErr w:type="spellStart"/>
            <w:r w:rsidRPr="00F57183">
              <w:rPr>
                <w:rFonts w:ascii="Arial" w:hAnsi="Arial" w:cs="Arial"/>
              </w:rPr>
              <w:t>Lines</w:t>
            </w:r>
            <w:proofErr w:type="spellEnd"/>
          </w:p>
        </w:tc>
        <w:tc>
          <w:tcPr>
            <w:tcW w:w="1852" w:type="dxa"/>
            <w:shd w:val="clear" w:color="000000" w:fill="CCCCCC"/>
            <w:vAlign w:val="center"/>
          </w:tcPr>
          <w:p w14:paraId="08741969" w14:textId="77777777" w:rsidR="0064020F" w:rsidRPr="00F57183" w:rsidRDefault="0064020F" w:rsidP="00CD6C88">
            <w:pPr>
              <w:pStyle w:val="Tabuka-hlavika"/>
              <w:jc w:val="both"/>
              <w:rPr>
                <w:rFonts w:ascii="Arial" w:hAnsi="Arial" w:cs="Arial"/>
              </w:rPr>
            </w:pPr>
            <w:r w:rsidRPr="00F57183">
              <w:rPr>
                <w:rFonts w:ascii="Arial" w:hAnsi="Arial" w:cs="Arial"/>
              </w:rPr>
              <w:t>DPB</w:t>
            </w:r>
          </w:p>
        </w:tc>
      </w:tr>
      <w:tr w:rsidR="0064020F" w:rsidRPr="00F57183" w14:paraId="01DE8297" w14:textId="77777777" w:rsidTr="00CD6C88">
        <w:trPr>
          <w:trHeight w:val="300"/>
          <w:jc w:val="center"/>
        </w:trPr>
        <w:tc>
          <w:tcPr>
            <w:tcW w:w="2117" w:type="dxa"/>
            <w:shd w:val="clear" w:color="000000" w:fill="E6E6E6"/>
          </w:tcPr>
          <w:p w14:paraId="2FCB9FB3" w14:textId="77777777" w:rsidR="0064020F" w:rsidRPr="00F57183" w:rsidRDefault="0064020F" w:rsidP="00CD6C88">
            <w:pPr>
              <w:pStyle w:val="Tabuka-hodnotyL"/>
              <w:jc w:val="both"/>
              <w:rPr>
                <w:rFonts w:ascii="Arial" w:hAnsi="Arial" w:cs="Arial"/>
              </w:rPr>
            </w:pPr>
            <w:r w:rsidRPr="00F57183">
              <w:rPr>
                <w:rFonts w:ascii="Arial" w:hAnsi="Arial" w:cs="Arial"/>
              </w:rPr>
              <w:t>Variant 3</w:t>
            </w:r>
          </w:p>
        </w:tc>
        <w:tc>
          <w:tcPr>
            <w:tcW w:w="2117" w:type="dxa"/>
            <w:shd w:val="clear" w:color="000000" w:fill="E6E6E6"/>
            <w:vAlign w:val="center"/>
            <w:hideMark/>
          </w:tcPr>
          <w:p w14:paraId="31BA60F5" w14:textId="77777777" w:rsidR="0064020F" w:rsidRPr="00F57183" w:rsidRDefault="0064020F" w:rsidP="00CD6C88">
            <w:pPr>
              <w:pStyle w:val="Tabuka-hodnotyP"/>
              <w:jc w:val="both"/>
              <w:rPr>
                <w:rFonts w:ascii="Arial" w:hAnsi="Arial" w:cs="Arial"/>
              </w:rPr>
            </w:pPr>
            <w:r w:rsidRPr="00F57183">
              <w:rPr>
                <w:rFonts w:ascii="Arial" w:hAnsi="Arial" w:cs="Arial"/>
              </w:rPr>
              <w:t>+47 604 €</w:t>
            </w:r>
          </w:p>
        </w:tc>
        <w:tc>
          <w:tcPr>
            <w:tcW w:w="2268" w:type="dxa"/>
            <w:shd w:val="clear" w:color="000000" w:fill="E6E6E6"/>
            <w:vAlign w:val="center"/>
            <w:hideMark/>
          </w:tcPr>
          <w:p w14:paraId="5626630E" w14:textId="77777777" w:rsidR="0064020F" w:rsidRPr="00F57183" w:rsidRDefault="0064020F" w:rsidP="00CD6C88">
            <w:pPr>
              <w:pStyle w:val="Tabuka-hodnotyP"/>
              <w:jc w:val="both"/>
              <w:rPr>
                <w:rFonts w:ascii="Arial" w:hAnsi="Arial" w:cs="Arial"/>
              </w:rPr>
            </w:pPr>
            <w:r w:rsidRPr="00F57183">
              <w:rPr>
                <w:rFonts w:ascii="Arial" w:hAnsi="Arial" w:cs="Arial"/>
              </w:rPr>
              <w:t>+431 389 €</w:t>
            </w:r>
          </w:p>
        </w:tc>
        <w:tc>
          <w:tcPr>
            <w:tcW w:w="1852" w:type="dxa"/>
            <w:shd w:val="clear" w:color="000000" w:fill="E6E6E6"/>
            <w:vAlign w:val="center"/>
          </w:tcPr>
          <w:p w14:paraId="19B2F7F0" w14:textId="77777777" w:rsidR="0064020F" w:rsidRPr="00F57183" w:rsidRDefault="0064020F" w:rsidP="00CD6C88">
            <w:pPr>
              <w:pStyle w:val="Tabuka-hodnotyP"/>
              <w:jc w:val="both"/>
              <w:rPr>
                <w:rFonts w:ascii="Arial" w:hAnsi="Arial" w:cs="Arial"/>
              </w:rPr>
            </w:pPr>
            <w:r w:rsidRPr="00F57183">
              <w:rPr>
                <w:rFonts w:ascii="Arial" w:hAnsi="Arial" w:cs="Arial"/>
              </w:rPr>
              <w:t>-478 993 €</w:t>
            </w:r>
          </w:p>
        </w:tc>
      </w:tr>
    </w:tbl>
    <w:p w14:paraId="50448A82" w14:textId="77777777" w:rsidR="0064020F" w:rsidRPr="00F57183" w:rsidRDefault="0064020F" w:rsidP="0064020F">
      <w:pPr>
        <w:jc w:val="both"/>
        <w:rPr>
          <w:rFonts w:ascii="Arial" w:hAnsi="Arial" w:cs="Arial"/>
        </w:rPr>
      </w:pPr>
    </w:p>
    <w:p w14:paraId="70828B25" w14:textId="77777777" w:rsidR="0064020F" w:rsidRPr="00F57183" w:rsidRDefault="0064020F" w:rsidP="0064020F">
      <w:pPr>
        <w:jc w:val="both"/>
        <w:rPr>
          <w:rFonts w:ascii="Arial" w:hAnsi="Arial" w:cs="Arial"/>
        </w:rPr>
      </w:pPr>
      <w:r w:rsidRPr="00F57183">
        <w:rPr>
          <w:rFonts w:ascii="Arial" w:hAnsi="Arial" w:cs="Arial"/>
        </w:rPr>
        <w:t>Táto analýza spolu s navrhovaným riešením bola zaslaná dopravcom aj objednávateľom dopravných výkonov v dostatočnom časovom predstihu a bola prerokovaná dňa 8.12.2016 na zasadnutí Tarifno-legislatívnej skupiny v sídle BID</w:t>
      </w:r>
      <w:r>
        <w:rPr>
          <w:rFonts w:ascii="Arial" w:hAnsi="Arial" w:cs="Arial"/>
        </w:rPr>
        <w:t>, a. s.</w:t>
      </w:r>
      <w:r w:rsidRPr="00F57183">
        <w:rPr>
          <w:rFonts w:ascii="Arial" w:hAnsi="Arial" w:cs="Arial"/>
        </w:rPr>
        <w:t>. Zástupca DPB</w:t>
      </w:r>
      <w:r>
        <w:rPr>
          <w:rFonts w:ascii="Arial" w:hAnsi="Arial" w:cs="Arial"/>
        </w:rPr>
        <w:t>, a. s.</w:t>
      </w:r>
      <w:r w:rsidRPr="00F57183">
        <w:rPr>
          <w:rFonts w:ascii="Arial" w:hAnsi="Arial" w:cs="Arial"/>
        </w:rPr>
        <w:t xml:space="preserve"> na stretnutí vyjadril názor, že je zástancom spravodlivého a transparentného prerozdelenia tržieb, avšak na vydanie rozhodnutia o návrhoch predložených BID</w:t>
      </w:r>
      <w:r>
        <w:rPr>
          <w:rFonts w:ascii="Arial" w:hAnsi="Arial" w:cs="Arial"/>
        </w:rPr>
        <w:t>, a. s.</w:t>
      </w:r>
      <w:r w:rsidRPr="00F57183">
        <w:rPr>
          <w:rFonts w:ascii="Arial" w:hAnsi="Arial" w:cs="Arial"/>
        </w:rPr>
        <w:t xml:space="preserve"> požiadal o sprístupnenie všetkých podkladov vstupujúcich do deľby tržieb. BID</w:t>
      </w:r>
      <w:r>
        <w:rPr>
          <w:rFonts w:ascii="Arial" w:hAnsi="Arial" w:cs="Arial"/>
        </w:rPr>
        <w:t>, a. s.</w:t>
      </w:r>
      <w:r w:rsidRPr="00F57183">
        <w:rPr>
          <w:rFonts w:ascii="Arial" w:hAnsi="Arial" w:cs="Arial"/>
        </w:rPr>
        <w:t xml:space="preserve"> ako koordinátor mal za úlohu pripraviť prezentáciu deľby tržieb aj so sprístupnením dát. Dňa 15.12.2016 sa konala prezentácia spôsobu deľby tržieb a následne boli všetky dáta vstupujúce do deľby tržieb odoslané partnerom. Dňa 28.12.2016 zástupca DPB</w:t>
      </w:r>
      <w:r>
        <w:rPr>
          <w:rFonts w:ascii="Arial" w:hAnsi="Arial" w:cs="Arial"/>
        </w:rPr>
        <w:t>, a. s.</w:t>
      </w:r>
      <w:r w:rsidRPr="00F57183">
        <w:rPr>
          <w:rFonts w:ascii="Arial" w:hAnsi="Arial" w:cs="Arial"/>
        </w:rPr>
        <w:t xml:space="preserve"> požiadal spoločnosť BID o doplnenie údajov, ktoré poslúžia pre posúdenie navrhovanej zmeny koeficientu. Požadované dáta BID</w:t>
      </w:r>
      <w:r>
        <w:rPr>
          <w:rFonts w:ascii="Arial" w:hAnsi="Arial" w:cs="Arial"/>
        </w:rPr>
        <w:t>, a. s.</w:t>
      </w:r>
      <w:r w:rsidRPr="00F57183">
        <w:rPr>
          <w:rFonts w:ascii="Arial" w:hAnsi="Arial" w:cs="Arial"/>
        </w:rPr>
        <w:t xml:space="preserve"> zaslala dňa 3.1.2017.</w:t>
      </w:r>
    </w:p>
    <w:p w14:paraId="5B210D31" w14:textId="77777777" w:rsidR="0064020F" w:rsidRDefault="0064020F" w:rsidP="0064020F">
      <w:pPr>
        <w:jc w:val="both"/>
        <w:rPr>
          <w:rFonts w:ascii="Arial" w:hAnsi="Arial" w:cs="Arial"/>
        </w:rPr>
      </w:pPr>
    </w:p>
    <w:p w14:paraId="1E03E94B" w14:textId="77777777" w:rsidR="0064020F" w:rsidRPr="00F57183" w:rsidRDefault="0064020F" w:rsidP="0064020F">
      <w:pPr>
        <w:jc w:val="both"/>
        <w:rPr>
          <w:rFonts w:ascii="Arial" w:hAnsi="Arial" w:cs="Arial"/>
        </w:rPr>
      </w:pPr>
      <w:r w:rsidRPr="00F57183">
        <w:rPr>
          <w:rFonts w:ascii="Arial" w:hAnsi="Arial" w:cs="Arial"/>
        </w:rPr>
        <w:t>Dňa 11.1.2017 zaslal DPB</w:t>
      </w:r>
      <w:r>
        <w:rPr>
          <w:rFonts w:ascii="Arial" w:hAnsi="Arial" w:cs="Arial"/>
        </w:rPr>
        <w:t>, a. s.</w:t>
      </w:r>
      <w:r w:rsidRPr="00F57183">
        <w:rPr>
          <w:rFonts w:ascii="Arial" w:hAnsi="Arial" w:cs="Arial"/>
        </w:rPr>
        <w:t xml:space="preserve"> zamietavé stanovisko k návrhu BID</w:t>
      </w:r>
      <w:r>
        <w:rPr>
          <w:rFonts w:ascii="Arial" w:hAnsi="Arial" w:cs="Arial"/>
        </w:rPr>
        <w:t>, a. s.</w:t>
      </w:r>
      <w:r w:rsidRPr="00F57183">
        <w:rPr>
          <w:rFonts w:ascii="Arial" w:hAnsi="Arial" w:cs="Arial"/>
        </w:rPr>
        <w:t xml:space="preserve"> na zmenu koeficientu. Dňa 12.1.2017 bolo stanovisko DPB</w:t>
      </w:r>
      <w:r>
        <w:rPr>
          <w:rFonts w:ascii="Arial" w:hAnsi="Arial" w:cs="Arial"/>
        </w:rPr>
        <w:t>, a. s.</w:t>
      </w:r>
      <w:r w:rsidRPr="00F57183">
        <w:rPr>
          <w:rFonts w:ascii="Arial" w:hAnsi="Arial" w:cs="Arial"/>
        </w:rPr>
        <w:t xml:space="preserve"> predmetom rokovania Tarifno-legislatívnej skupiny. Na stretnutí zástupca DPB</w:t>
      </w:r>
      <w:r>
        <w:rPr>
          <w:rFonts w:ascii="Arial" w:hAnsi="Arial" w:cs="Arial"/>
        </w:rPr>
        <w:t>, a. s.</w:t>
      </w:r>
      <w:r w:rsidRPr="00F57183">
        <w:rPr>
          <w:rFonts w:ascii="Arial" w:hAnsi="Arial" w:cs="Arial"/>
        </w:rPr>
        <w:t xml:space="preserve"> nedokázal dostatočne argumentovať a presvedčiť prítomných partnerov o  predloženom stanovisku. Všetci zúčastnení partneri sa zhodli na skutočnosti, že vykonané prepočty DPB</w:t>
      </w:r>
      <w:r>
        <w:rPr>
          <w:rFonts w:ascii="Arial" w:hAnsi="Arial" w:cs="Arial"/>
        </w:rPr>
        <w:t>, a. s.</w:t>
      </w:r>
      <w:r w:rsidRPr="00F57183">
        <w:rPr>
          <w:rFonts w:ascii="Arial" w:hAnsi="Arial" w:cs="Arial"/>
        </w:rPr>
        <w:t xml:space="preserve"> považujú za neobjektívne a v rozpore so schválenou metodikou deľby tržieb v IDS BK. Zúčastnení partneri požiadali DPB</w:t>
      </w:r>
      <w:r>
        <w:rPr>
          <w:rFonts w:ascii="Arial" w:hAnsi="Arial" w:cs="Arial"/>
        </w:rPr>
        <w:t>, a. s.</w:t>
      </w:r>
      <w:r w:rsidRPr="00F57183">
        <w:rPr>
          <w:rFonts w:ascii="Arial" w:hAnsi="Arial" w:cs="Arial"/>
        </w:rPr>
        <w:t xml:space="preserve"> o sprístupnenie všetkých prepočtov, ktoré sa uvádzajú v stanovisku DPB</w:t>
      </w:r>
      <w:r>
        <w:rPr>
          <w:rFonts w:ascii="Arial" w:hAnsi="Arial" w:cs="Arial"/>
        </w:rPr>
        <w:t>, a. s.</w:t>
      </w:r>
      <w:r w:rsidRPr="00F57183">
        <w:rPr>
          <w:rFonts w:ascii="Arial" w:hAnsi="Arial" w:cs="Arial"/>
        </w:rPr>
        <w:t>. DPB</w:t>
      </w:r>
      <w:r>
        <w:rPr>
          <w:rFonts w:ascii="Arial" w:hAnsi="Arial" w:cs="Arial"/>
        </w:rPr>
        <w:t>, a. s.</w:t>
      </w:r>
      <w:r w:rsidRPr="00F57183">
        <w:rPr>
          <w:rFonts w:ascii="Arial" w:hAnsi="Arial" w:cs="Arial"/>
        </w:rPr>
        <w:t xml:space="preserve"> mal doručiť koordinátorovi tieto podklady počas 3. kalendárneho týždňa. Do dnešného dňa neboli tieto podklady doručené. </w:t>
      </w:r>
    </w:p>
    <w:p w14:paraId="1719A995" w14:textId="77777777" w:rsidR="0064020F" w:rsidRDefault="0064020F" w:rsidP="0064020F">
      <w:pPr>
        <w:jc w:val="both"/>
        <w:rPr>
          <w:rFonts w:ascii="Arial" w:hAnsi="Arial" w:cs="Arial"/>
        </w:rPr>
      </w:pPr>
    </w:p>
    <w:p w14:paraId="4E8B699B" w14:textId="77777777" w:rsidR="0064020F" w:rsidRDefault="0064020F" w:rsidP="0064020F">
      <w:pPr>
        <w:jc w:val="both"/>
        <w:rPr>
          <w:rFonts w:ascii="Arial" w:hAnsi="Arial" w:cs="Arial"/>
        </w:rPr>
      </w:pPr>
    </w:p>
    <w:p w14:paraId="555F4D27" w14:textId="77777777" w:rsidR="0064020F" w:rsidRPr="00F57183" w:rsidRDefault="0064020F" w:rsidP="0064020F">
      <w:pPr>
        <w:rPr>
          <w:rFonts w:ascii="Arial" w:hAnsi="Arial" w:cs="Arial"/>
          <w:b/>
        </w:rPr>
      </w:pPr>
      <w:r w:rsidRPr="00F57183">
        <w:rPr>
          <w:rFonts w:ascii="Arial" w:hAnsi="Arial" w:cs="Arial"/>
          <w:b/>
        </w:rPr>
        <w:t>Stanoviská jednotlivých partnerov k návrhom BID</w:t>
      </w:r>
      <w:r>
        <w:rPr>
          <w:rFonts w:ascii="Arial" w:hAnsi="Arial" w:cs="Arial"/>
          <w:b/>
        </w:rPr>
        <w:t>, a. s.</w:t>
      </w:r>
      <w:r w:rsidRPr="00F57183">
        <w:rPr>
          <w:rFonts w:ascii="Arial" w:hAnsi="Arial" w:cs="Arial"/>
          <w:b/>
        </w:rPr>
        <w:t>:</w:t>
      </w:r>
    </w:p>
    <w:p w14:paraId="441FB5F2" w14:textId="77777777" w:rsidR="0064020F" w:rsidRPr="00F57183" w:rsidRDefault="0064020F" w:rsidP="0064020F">
      <w:pPr>
        <w:pStyle w:val="Odsekzoznamu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120"/>
        <w:rPr>
          <w:rFonts w:ascii="Arial" w:hAnsi="Arial"/>
        </w:rPr>
      </w:pPr>
      <w:r w:rsidRPr="00F57183">
        <w:rPr>
          <w:rFonts w:ascii="Arial" w:hAnsi="Arial"/>
        </w:rPr>
        <w:t>koordinátor BID</w:t>
      </w:r>
      <w:r>
        <w:rPr>
          <w:rFonts w:ascii="Arial" w:hAnsi="Arial"/>
        </w:rPr>
        <w:t>, a. s.</w:t>
      </w:r>
      <w:r w:rsidRPr="00F57183">
        <w:rPr>
          <w:rFonts w:ascii="Arial" w:hAnsi="Arial"/>
        </w:rPr>
        <w:t xml:space="preserve"> navrhuje vypočítanú hodnotu, a to 0,81 €.</w:t>
      </w:r>
    </w:p>
    <w:p w14:paraId="0F93EA85" w14:textId="77777777" w:rsidR="0064020F" w:rsidRPr="00F57183" w:rsidRDefault="0064020F" w:rsidP="0064020F">
      <w:pPr>
        <w:pStyle w:val="Odsekzoznamu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120"/>
        <w:rPr>
          <w:rFonts w:ascii="Arial" w:hAnsi="Arial"/>
        </w:rPr>
      </w:pPr>
      <w:r w:rsidRPr="00F57183">
        <w:rPr>
          <w:rFonts w:ascii="Arial" w:hAnsi="Arial"/>
        </w:rPr>
        <w:t>objednávateľ BSK navrhuje vypočítanú hodnotu, a to 0,81 €.</w:t>
      </w:r>
    </w:p>
    <w:p w14:paraId="3898AF7B" w14:textId="77777777" w:rsidR="0064020F" w:rsidRPr="00F57183" w:rsidRDefault="0064020F" w:rsidP="0064020F">
      <w:pPr>
        <w:pStyle w:val="Odsekzoznamu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120"/>
        <w:rPr>
          <w:rFonts w:ascii="Arial" w:hAnsi="Arial"/>
        </w:rPr>
      </w:pPr>
      <w:r w:rsidRPr="00F57183">
        <w:rPr>
          <w:rFonts w:ascii="Arial" w:hAnsi="Arial"/>
        </w:rPr>
        <w:t>objednávateľ HMB vzhľadom na dopady pre DPB</w:t>
      </w:r>
      <w:r>
        <w:rPr>
          <w:rFonts w:ascii="Arial" w:hAnsi="Arial"/>
        </w:rPr>
        <w:t>, a. s.</w:t>
      </w:r>
      <w:r w:rsidRPr="00F57183">
        <w:rPr>
          <w:rFonts w:ascii="Arial" w:hAnsi="Arial"/>
        </w:rPr>
        <w:t xml:space="preserve"> navrhuje variant č. 1 (0,85 €).</w:t>
      </w:r>
    </w:p>
    <w:p w14:paraId="5490E03E" w14:textId="77777777" w:rsidR="0064020F" w:rsidRPr="00F57183" w:rsidRDefault="0064020F" w:rsidP="0064020F">
      <w:pPr>
        <w:pStyle w:val="Odsekzoznamu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120"/>
        <w:rPr>
          <w:rFonts w:ascii="Arial" w:hAnsi="Arial"/>
        </w:rPr>
      </w:pPr>
      <w:r w:rsidRPr="00F57183">
        <w:rPr>
          <w:rFonts w:ascii="Arial" w:hAnsi="Arial"/>
        </w:rPr>
        <w:t>objednávateľ MDV SR sa prikláňa k variante č.2 (0,80 €), prípadne k vypočítanej hodnote (0,81 €).</w:t>
      </w:r>
    </w:p>
    <w:p w14:paraId="54F78D34" w14:textId="77777777" w:rsidR="0064020F" w:rsidRPr="00F57183" w:rsidRDefault="0064020F" w:rsidP="0064020F">
      <w:pPr>
        <w:pStyle w:val="Odsekzoznamu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120"/>
        <w:rPr>
          <w:rFonts w:ascii="Arial" w:hAnsi="Arial"/>
        </w:rPr>
      </w:pPr>
      <w:r w:rsidRPr="00F57183">
        <w:rPr>
          <w:rFonts w:ascii="Arial" w:hAnsi="Arial"/>
        </w:rPr>
        <w:t>dopravca SL</w:t>
      </w:r>
      <w:r>
        <w:rPr>
          <w:rFonts w:ascii="Arial" w:hAnsi="Arial"/>
        </w:rPr>
        <w:t>, a. s.</w:t>
      </w:r>
      <w:r w:rsidRPr="00F57183">
        <w:rPr>
          <w:rFonts w:ascii="Arial" w:hAnsi="Arial"/>
        </w:rPr>
        <w:t xml:space="preserve"> sa prikláňa k variantu č.3 (0,75 €).</w:t>
      </w:r>
    </w:p>
    <w:p w14:paraId="37F0E633" w14:textId="77777777" w:rsidR="0064020F" w:rsidRPr="00F57183" w:rsidRDefault="0064020F" w:rsidP="0064020F">
      <w:pPr>
        <w:pStyle w:val="Odsekzoznamu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120"/>
        <w:rPr>
          <w:rFonts w:ascii="Arial" w:hAnsi="Arial"/>
        </w:rPr>
      </w:pPr>
      <w:r w:rsidRPr="00F57183">
        <w:rPr>
          <w:rFonts w:ascii="Arial" w:hAnsi="Arial"/>
        </w:rPr>
        <w:t>dopravca DPB</w:t>
      </w:r>
      <w:r>
        <w:rPr>
          <w:rFonts w:ascii="Arial" w:hAnsi="Arial"/>
        </w:rPr>
        <w:t>, a. s.</w:t>
      </w:r>
      <w:r w:rsidRPr="00F57183">
        <w:rPr>
          <w:rFonts w:ascii="Arial" w:hAnsi="Arial"/>
        </w:rPr>
        <w:t xml:space="preserve"> nesúhlasí so žiadnym návrhom.</w:t>
      </w:r>
    </w:p>
    <w:p w14:paraId="2FBBF1FE" w14:textId="77777777" w:rsidR="0064020F" w:rsidRPr="00F57183" w:rsidRDefault="0064020F" w:rsidP="0064020F">
      <w:pPr>
        <w:pStyle w:val="Odsekzoznamu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120"/>
        <w:rPr>
          <w:rFonts w:ascii="Arial" w:hAnsi="Arial"/>
        </w:rPr>
      </w:pPr>
      <w:r w:rsidRPr="00F57183">
        <w:rPr>
          <w:rFonts w:ascii="Arial" w:hAnsi="Arial"/>
        </w:rPr>
        <w:t>dopravca ZSSK</w:t>
      </w:r>
      <w:r>
        <w:rPr>
          <w:rFonts w:ascii="Arial" w:hAnsi="Arial"/>
        </w:rPr>
        <w:t>, a. s.</w:t>
      </w:r>
      <w:r w:rsidRPr="00F57183">
        <w:rPr>
          <w:rFonts w:ascii="Arial" w:hAnsi="Arial"/>
        </w:rPr>
        <w:t xml:space="preserve"> navrhuje podiel pre zónu 100+101 zo 4 a viac zónových </w:t>
      </w:r>
      <w:r w:rsidRPr="00F57183">
        <w:rPr>
          <w:rFonts w:ascii="Arial" w:hAnsi="Arial"/>
        </w:rPr>
        <w:lastRenderedPageBreak/>
        <w:t>adresných CL na úrovni vypočítanej hodnoty, a to 0,81 €.</w:t>
      </w:r>
    </w:p>
    <w:p w14:paraId="583F7158" w14:textId="77777777" w:rsidR="0064020F" w:rsidRDefault="0064020F" w:rsidP="0064020F">
      <w:pPr>
        <w:jc w:val="both"/>
        <w:rPr>
          <w:rFonts w:ascii="Arial" w:hAnsi="Arial" w:cs="Arial"/>
        </w:rPr>
      </w:pPr>
    </w:p>
    <w:p w14:paraId="14EC0F2B" w14:textId="77777777" w:rsidR="0064020F" w:rsidRDefault="0064020F" w:rsidP="0064020F">
      <w:pPr>
        <w:jc w:val="both"/>
        <w:rPr>
          <w:rFonts w:ascii="Arial" w:hAnsi="Arial" w:cs="Arial"/>
        </w:rPr>
      </w:pPr>
      <w:r w:rsidRPr="00F57183">
        <w:rPr>
          <w:rFonts w:ascii="Arial" w:hAnsi="Arial" w:cs="Arial"/>
        </w:rPr>
        <w:t>Na základe stanovísk objednávateľov a dopravcov BID</w:t>
      </w:r>
      <w:r>
        <w:rPr>
          <w:rFonts w:ascii="Arial" w:hAnsi="Arial" w:cs="Arial"/>
        </w:rPr>
        <w:t>, a. s.</w:t>
      </w:r>
      <w:r w:rsidRPr="00F57183">
        <w:rPr>
          <w:rFonts w:ascii="Arial" w:hAnsi="Arial" w:cs="Arial"/>
        </w:rPr>
        <w:t xml:space="preserve"> rozhodla uplatniť ako konečný návrh variant </w:t>
      </w:r>
      <w:r w:rsidRPr="00F57183">
        <w:rPr>
          <w:rFonts w:ascii="Arial" w:hAnsi="Arial" w:cs="Arial"/>
          <w:b/>
        </w:rPr>
        <w:t>0,81 € pre zóny 100+101,</w:t>
      </w:r>
      <w:r w:rsidRPr="00F57183">
        <w:rPr>
          <w:rFonts w:ascii="Arial" w:hAnsi="Arial" w:cs="Arial"/>
        </w:rPr>
        <w:t xml:space="preserve"> čo predstavuje 54 % z ceny 4 zónového adresného cestovného lístka.</w:t>
      </w:r>
    </w:p>
    <w:p w14:paraId="3F0EA210" w14:textId="77777777" w:rsidR="0064020F" w:rsidRDefault="0064020F" w:rsidP="0064020F">
      <w:pPr>
        <w:jc w:val="both"/>
        <w:rPr>
          <w:rFonts w:ascii="Arial" w:hAnsi="Arial" w:cs="Arial"/>
        </w:rPr>
      </w:pPr>
    </w:p>
    <w:p w14:paraId="2F6C178E" w14:textId="77777777" w:rsidR="0064020F" w:rsidRDefault="0064020F" w:rsidP="0064020F">
      <w:pPr>
        <w:rPr>
          <w:rFonts w:ascii="Arial" w:hAnsi="Arial" w:cs="Arial"/>
        </w:rPr>
      </w:pPr>
      <w:r w:rsidRPr="00F57183">
        <w:rPr>
          <w:rFonts w:ascii="Arial" w:hAnsi="Arial" w:cs="Arial"/>
        </w:rPr>
        <w:t>Predpokladaná ročná zmena tržieb dopravcov pri vybranom variante:</w:t>
      </w:r>
    </w:p>
    <w:p w14:paraId="60D070F6" w14:textId="77777777" w:rsidR="0064020F" w:rsidRPr="00F57183" w:rsidRDefault="0064020F" w:rsidP="0064020F">
      <w:pPr>
        <w:rPr>
          <w:rFonts w:ascii="Arial" w:hAnsi="Arial" w:cs="Arial"/>
        </w:rPr>
      </w:pPr>
    </w:p>
    <w:tbl>
      <w:tblPr>
        <w:tblW w:w="835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117"/>
        <w:gridCol w:w="2117"/>
        <w:gridCol w:w="2268"/>
        <w:gridCol w:w="1852"/>
      </w:tblGrid>
      <w:tr w:rsidR="0064020F" w:rsidRPr="00F57183" w14:paraId="13B7353B" w14:textId="77777777" w:rsidTr="00CD6C88">
        <w:trPr>
          <w:trHeight w:val="300"/>
          <w:jc w:val="center"/>
        </w:trPr>
        <w:tc>
          <w:tcPr>
            <w:tcW w:w="2117" w:type="dxa"/>
            <w:shd w:val="clear" w:color="000000" w:fill="CCCCCC"/>
          </w:tcPr>
          <w:p w14:paraId="378A670F" w14:textId="77777777" w:rsidR="0064020F" w:rsidRPr="00F57183" w:rsidRDefault="0064020F" w:rsidP="00CD6C88">
            <w:pPr>
              <w:pStyle w:val="Tabuka-hlavika"/>
              <w:rPr>
                <w:rFonts w:ascii="Arial" w:hAnsi="Arial" w:cs="Arial"/>
              </w:rPr>
            </w:pPr>
            <w:r w:rsidRPr="00F57183">
              <w:rPr>
                <w:rFonts w:ascii="Arial" w:hAnsi="Arial" w:cs="Arial"/>
              </w:rPr>
              <w:t>Dopravca</w:t>
            </w:r>
          </w:p>
        </w:tc>
        <w:tc>
          <w:tcPr>
            <w:tcW w:w="2117" w:type="dxa"/>
            <w:shd w:val="clear" w:color="000000" w:fill="CCCCCC"/>
            <w:vAlign w:val="center"/>
            <w:hideMark/>
          </w:tcPr>
          <w:p w14:paraId="53A06E2F" w14:textId="77777777" w:rsidR="0064020F" w:rsidRPr="00F57183" w:rsidRDefault="0064020F" w:rsidP="00CD6C88">
            <w:pPr>
              <w:pStyle w:val="Tabuka-hlavika"/>
              <w:rPr>
                <w:rFonts w:ascii="Arial" w:hAnsi="Arial" w:cs="Arial"/>
              </w:rPr>
            </w:pPr>
            <w:r w:rsidRPr="00F57183">
              <w:rPr>
                <w:rFonts w:ascii="Arial" w:hAnsi="Arial" w:cs="Arial"/>
              </w:rPr>
              <w:t>ZSSK</w:t>
            </w:r>
          </w:p>
        </w:tc>
        <w:tc>
          <w:tcPr>
            <w:tcW w:w="2268" w:type="dxa"/>
            <w:shd w:val="clear" w:color="000000" w:fill="CCCCCC"/>
            <w:vAlign w:val="center"/>
            <w:hideMark/>
          </w:tcPr>
          <w:p w14:paraId="4CAFE2B5" w14:textId="77777777" w:rsidR="0064020F" w:rsidRPr="00F57183" w:rsidRDefault="0064020F" w:rsidP="00CD6C88">
            <w:pPr>
              <w:pStyle w:val="Tabuka-hlavika"/>
              <w:rPr>
                <w:rFonts w:ascii="Arial" w:hAnsi="Arial" w:cs="Arial"/>
              </w:rPr>
            </w:pPr>
            <w:r w:rsidRPr="00F57183">
              <w:rPr>
                <w:rFonts w:ascii="Arial" w:hAnsi="Arial" w:cs="Arial"/>
              </w:rPr>
              <w:t xml:space="preserve">Slovak </w:t>
            </w:r>
            <w:proofErr w:type="spellStart"/>
            <w:r w:rsidRPr="00F57183">
              <w:rPr>
                <w:rFonts w:ascii="Arial" w:hAnsi="Arial" w:cs="Arial"/>
              </w:rPr>
              <w:t>Lines</w:t>
            </w:r>
            <w:proofErr w:type="spellEnd"/>
          </w:p>
        </w:tc>
        <w:tc>
          <w:tcPr>
            <w:tcW w:w="1852" w:type="dxa"/>
            <w:shd w:val="clear" w:color="000000" w:fill="CCCCCC"/>
            <w:vAlign w:val="center"/>
          </w:tcPr>
          <w:p w14:paraId="1299073C" w14:textId="77777777" w:rsidR="0064020F" w:rsidRPr="00F57183" w:rsidRDefault="0064020F" w:rsidP="00CD6C88">
            <w:pPr>
              <w:pStyle w:val="Tabuka-hlavika"/>
              <w:rPr>
                <w:rFonts w:ascii="Arial" w:hAnsi="Arial" w:cs="Arial"/>
              </w:rPr>
            </w:pPr>
            <w:r w:rsidRPr="00F57183">
              <w:rPr>
                <w:rFonts w:ascii="Arial" w:hAnsi="Arial" w:cs="Arial"/>
              </w:rPr>
              <w:t>DPB</w:t>
            </w:r>
          </w:p>
        </w:tc>
      </w:tr>
      <w:tr w:rsidR="0064020F" w:rsidRPr="00F57183" w14:paraId="4492E25E" w14:textId="77777777" w:rsidTr="00CD6C88">
        <w:trPr>
          <w:trHeight w:val="300"/>
          <w:jc w:val="center"/>
        </w:trPr>
        <w:tc>
          <w:tcPr>
            <w:tcW w:w="2117" w:type="dxa"/>
            <w:shd w:val="clear" w:color="000000" w:fill="E6E6E6"/>
          </w:tcPr>
          <w:p w14:paraId="7681E741" w14:textId="77777777" w:rsidR="0064020F" w:rsidRPr="00F57183" w:rsidRDefault="0064020F" w:rsidP="00CD6C88">
            <w:pPr>
              <w:pStyle w:val="Tabuka-hodnotyL"/>
              <w:rPr>
                <w:rFonts w:ascii="Arial" w:hAnsi="Arial" w:cs="Arial"/>
                <w:b/>
              </w:rPr>
            </w:pPr>
            <w:r w:rsidRPr="00F57183">
              <w:rPr>
                <w:rFonts w:ascii="Arial" w:hAnsi="Arial" w:cs="Arial"/>
                <w:b/>
              </w:rPr>
              <w:t>Variant - 0,81€</w:t>
            </w:r>
          </w:p>
        </w:tc>
        <w:tc>
          <w:tcPr>
            <w:tcW w:w="2117" w:type="dxa"/>
            <w:shd w:val="clear" w:color="000000" w:fill="E6E6E6"/>
            <w:vAlign w:val="center"/>
            <w:hideMark/>
          </w:tcPr>
          <w:p w14:paraId="7091AC1C" w14:textId="77777777" w:rsidR="0064020F" w:rsidRPr="00F57183" w:rsidRDefault="0064020F" w:rsidP="00CD6C88">
            <w:pPr>
              <w:pStyle w:val="Tabuka-hodnotyP"/>
              <w:rPr>
                <w:rFonts w:ascii="Arial" w:hAnsi="Arial" w:cs="Arial"/>
              </w:rPr>
            </w:pPr>
            <w:r w:rsidRPr="00F57183">
              <w:rPr>
                <w:rFonts w:ascii="Arial" w:hAnsi="Arial" w:cs="Arial"/>
              </w:rPr>
              <w:t>+35 594 €</w:t>
            </w:r>
          </w:p>
        </w:tc>
        <w:tc>
          <w:tcPr>
            <w:tcW w:w="2268" w:type="dxa"/>
            <w:shd w:val="clear" w:color="000000" w:fill="E6E6E6"/>
            <w:vAlign w:val="center"/>
            <w:hideMark/>
          </w:tcPr>
          <w:p w14:paraId="1F84A5FC" w14:textId="77777777" w:rsidR="0064020F" w:rsidRPr="00F57183" w:rsidRDefault="0064020F" w:rsidP="00CD6C88">
            <w:pPr>
              <w:pStyle w:val="Tabuka-hodnotyP"/>
              <w:rPr>
                <w:rFonts w:ascii="Arial" w:hAnsi="Arial" w:cs="Arial"/>
              </w:rPr>
            </w:pPr>
            <w:r w:rsidRPr="00F57183">
              <w:rPr>
                <w:rFonts w:ascii="Arial" w:hAnsi="Arial" w:cs="Arial"/>
              </w:rPr>
              <w:t>+322 521 €</w:t>
            </w:r>
          </w:p>
        </w:tc>
        <w:tc>
          <w:tcPr>
            <w:tcW w:w="1852" w:type="dxa"/>
            <w:shd w:val="clear" w:color="000000" w:fill="E6E6E6"/>
            <w:vAlign w:val="center"/>
          </w:tcPr>
          <w:p w14:paraId="3EE0791B" w14:textId="77777777" w:rsidR="0064020F" w:rsidRPr="00F57183" w:rsidRDefault="0064020F" w:rsidP="00CD6C88">
            <w:pPr>
              <w:pStyle w:val="Tabuka-hodnotyP"/>
              <w:rPr>
                <w:rFonts w:ascii="Arial" w:hAnsi="Arial" w:cs="Arial"/>
              </w:rPr>
            </w:pPr>
            <w:r w:rsidRPr="00F57183">
              <w:rPr>
                <w:rFonts w:ascii="Arial" w:hAnsi="Arial" w:cs="Arial"/>
              </w:rPr>
              <w:t>-358 115 €</w:t>
            </w:r>
          </w:p>
        </w:tc>
      </w:tr>
    </w:tbl>
    <w:p w14:paraId="5202F6A8" w14:textId="77777777" w:rsidR="0064020F" w:rsidRPr="00F57183" w:rsidRDefault="0064020F" w:rsidP="0064020F">
      <w:pPr>
        <w:jc w:val="both"/>
        <w:rPr>
          <w:rFonts w:ascii="Arial" w:hAnsi="Arial" w:cs="Arial"/>
        </w:rPr>
      </w:pPr>
    </w:p>
    <w:p w14:paraId="56BD61F2" w14:textId="77777777" w:rsidR="0064020F" w:rsidRPr="00EC4015" w:rsidRDefault="0064020F" w:rsidP="0064020F">
      <w:pPr>
        <w:jc w:val="both"/>
        <w:rPr>
          <w:rFonts w:ascii="Arial" w:hAnsi="Arial" w:cs="Arial"/>
        </w:rPr>
      </w:pPr>
    </w:p>
    <w:p w14:paraId="3A6375BA" w14:textId="77777777" w:rsidR="0064020F" w:rsidRDefault="0064020F" w:rsidP="0064020F">
      <w:pPr>
        <w:jc w:val="both"/>
        <w:rPr>
          <w:rFonts w:ascii="Arial" w:hAnsi="Arial" w:cs="Arial"/>
        </w:rPr>
      </w:pPr>
      <w:r w:rsidRPr="00F57183">
        <w:rPr>
          <w:rFonts w:ascii="Arial" w:hAnsi="Arial" w:cs="Arial"/>
        </w:rPr>
        <w:t xml:space="preserve">Zmena koeficientu je predmetom pripraveného Dodatku č. 3 k Zmluve medzi koordinátorom a dopravcami. Návrh znenia Dodatku č.3 vrátane sprievodného listu s odôvodnením bol dopravcom zaslaný dňa 20.2.2017. Slovak </w:t>
      </w:r>
      <w:proofErr w:type="spellStart"/>
      <w:r w:rsidRPr="00F57183">
        <w:rPr>
          <w:rFonts w:ascii="Arial" w:hAnsi="Arial" w:cs="Arial"/>
        </w:rPr>
        <w:t>Lines</w:t>
      </w:r>
      <w:proofErr w:type="spellEnd"/>
      <w:r w:rsidRPr="00F57183">
        <w:rPr>
          <w:rFonts w:ascii="Arial" w:hAnsi="Arial" w:cs="Arial"/>
        </w:rPr>
        <w:t xml:space="preserve"> a ZSSK súhlasia s navrhnutou zmenou koeficientu. DPB do dnešného dňa nedoručil stanovisko k nášmu návrhu.</w:t>
      </w:r>
    </w:p>
    <w:p w14:paraId="14A8413B" w14:textId="77777777" w:rsidR="0064020F" w:rsidRDefault="0064020F" w:rsidP="0064020F">
      <w:pPr>
        <w:jc w:val="both"/>
        <w:rPr>
          <w:rFonts w:ascii="Arial" w:hAnsi="Arial" w:cs="Arial"/>
        </w:rPr>
      </w:pPr>
    </w:p>
    <w:p w14:paraId="15DB340D" w14:textId="77777777" w:rsidR="0064020F" w:rsidRPr="00F57183" w:rsidRDefault="0064020F" w:rsidP="0064020F">
      <w:pPr>
        <w:jc w:val="both"/>
        <w:rPr>
          <w:rFonts w:ascii="Arial" w:hAnsi="Arial" w:cs="Arial"/>
        </w:rPr>
      </w:pPr>
      <w:r w:rsidRPr="00F57183">
        <w:rPr>
          <w:rFonts w:ascii="Arial" w:hAnsi="Arial" w:cs="Arial"/>
        </w:rPr>
        <w:t xml:space="preserve">Aby sa v budúcnosti predišlo podobným situáciám, kedy by niektorý z partnerov blokoval </w:t>
      </w:r>
      <w:proofErr w:type="spellStart"/>
      <w:r w:rsidRPr="00F57183">
        <w:rPr>
          <w:rFonts w:ascii="Arial" w:hAnsi="Arial" w:cs="Arial"/>
        </w:rPr>
        <w:t>prenastavenie</w:t>
      </w:r>
      <w:proofErr w:type="spellEnd"/>
      <w:r w:rsidRPr="00F57183">
        <w:rPr>
          <w:rFonts w:ascii="Arial" w:hAnsi="Arial" w:cs="Arial"/>
        </w:rPr>
        <w:t xml:space="preserve"> systému IDS BK, spoločnosť BID</w:t>
      </w:r>
      <w:r>
        <w:rPr>
          <w:rFonts w:ascii="Arial" w:hAnsi="Arial" w:cs="Arial"/>
        </w:rPr>
        <w:t>, a. s.</w:t>
      </w:r>
      <w:r w:rsidRPr="00F57183">
        <w:rPr>
          <w:rFonts w:ascii="Arial" w:hAnsi="Arial" w:cs="Arial"/>
        </w:rPr>
        <w:t xml:space="preserve"> ako koordinátor projektu, musí získať postavenie koordinátora s rozhodovacími právomocami.      </w:t>
      </w:r>
    </w:p>
    <w:p w14:paraId="1568925E" w14:textId="77777777" w:rsidR="0064020F" w:rsidRDefault="0064020F" w:rsidP="0064020F">
      <w:pPr>
        <w:jc w:val="both"/>
        <w:rPr>
          <w:rFonts w:ascii="Arial" w:hAnsi="Arial" w:cs="Arial"/>
        </w:rPr>
      </w:pPr>
    </w:p>
    <w:p w14:paraId="67C3EA1A" w14:textId="77777777" w:rsidR="0064020F" w:rsidRPr="00F57183" w:rsidRDefault="0064020F" w:rsidP="0064020F">
      <w:pPr>
        <w:jc w:val="both"/>
        <w:rPr>
          <w:rFonts w:ascii="Arial" w:hAnsi="Arial" w:cs="Arial"/>
          <w:iCs/>
        </w:rPr>
      </w:pPr>
      <w:r w:rsidRPr="00F57183">
        <w:rPr>
          <w:rFonts w:ascii="Arial" w:hAnsi="Arial" w:cs="Arial"/>
        </w:rPr>
        <w:t>Teda</w:t>
      </w:r>
      <w:r w:rsidRPr="00F57183">
        <w:rPr>
          <w:rFonts w:ascii="Arial" w:hAnsi="Arial" w:cs="Arial"/>
          <w:iCs/>
        </w:rPr>
        <w:t xml:space="preserve"> v prípade, ak koordinátor systému IDS BK na základe analýz prevádzky IDS BK identifikuje potrebu zmeny systému IDS BK tak, aby bol spravodlivý, mali by byť jeho závery a návrhy záväzné pre všetkých partnerov zapojených do IDS BK. Samozrejme, všetky tieto analýzy a závery musia byť prerokované so všetkými partnermi, podobne ako je tomu doteraz. </w:t>
      </w:r>
    </w:p>
    <w:p w14:paraId="61F8CBFF" w14:textId="77777777" w:rsidR="0064020F" w:rsidRPr="00F57183" w:rsidRDefault="0064020F" w:rsidP="0064020F">
      <w:pPr>
        <w:jc w:val="both"/>
        <w:rPr>
          <w:rFonts w:ascii="Arial" w:hAnsi="Arial" w:cs="Arial"/>
        </w:rPr>
      </w:pPr>
    </w:p>
    <w:p w14:paraId="20B6ECB3" w14:textId="77777777" w:rsidR="0064020F" w:rsidRPr="00F57183" w:rsidRDefault="0064020F" w:rsidP="0064020F">
      <w:pPr>
        <w:jc w:val="both"/>
        <w:rPr>
          <w:rFonts w:ascii="Arial" w:hAnsi="Arial" w:cs="Arial"/>
          <w:iCs/>
        </w:rPr>
      </w:pPr>
      <w:r w:rsidRPr="00F57183">
        <w:rPr>
          <w:rFonts w:ascii="Arial" w:hAnsi="Arial" w:cs="Arial"/>
        </w:rPr>
        <w:t>Spoločnosť</w:t>
      </w:r>
      <w:r w:rsidRPr="00F57183">
        <w:rPr>
          <w:rFonts w:ascii="Arial" w:hAnsi="Arial" w:cs="Arial"/>
          <w:iCs/>
        </w:rPr>
        <w:t xml:space="preserve"> BID</w:t>
      </w:r>
      <w:r>
        <w:rPr>
          <w:rFonts w:ascii="Arial" w:hAnsi="Arial" w:cs="Arial"/>
          <w:iCs/>
        </w:rPr>
        <w:t>, a. s.</w:t>
      </w:r>
      <w:r w:rsidRPr="00F57183">
        <w:rPr>
          <w:rFonts w:ascii="Arial" w:hAnsi="Arial" w:cs="Arial"/>
          <w:iCs/>
        </w:rPr>
        <w:t xml:space="preserve"> preto navrhuje, aby boli obnovené rokovania o </w:t>
      </w:r>
      <w:r w:rsidRPr="00F57183">
        <w:rPr>
          <w:rFonts w:ascii="Arial" w:hAnsi="Arial" w:cs="Arial"/>
          <w:i/>
        </w:rPr>
        <w:t>Dohode o spolupráci pri ďalšom rozvoji Integrovaného dopravného systému na území Bratislavského kraja</w:t>
      </w:r>
      <w:r w:rsidRPr="00F57183">
        <w:rPr>
          <w:rFonts w:ascii="Arial" w:hAnsi="Arial" w:cs="Arial"/>
        </w:rPr>
        <w:t xml:space="preserve">, aby boli v tejto dohode definované kompetencie koordinátora IDS BK a aby boli zmluvnými stranami tejto dohody aj samotní dopravcovia, čím sa zabezpečí previazanosť so </w:t>
      </w:r>
      <w:r w:rsidRPr="00F57183">
        <w:rPr>
          <w:rFonts w:ascii="Arial" w:hAnsi="Arial" w:cs="Arial"/>
          <w:i/>
        </w:rPr>
        <w:t>Zmluvou o podmienkach prepravy a činností súvisiacich s prevádzkou Integrovaného dopravného systému v Bratislavskom kraji</w:t>
      </w:r>
      <w:r w:rsidRPr="00F57183">
        <w:rPr>
          <w:rFonts w:ascii="Arial" w:hAnsi="Arial" w:cs="Arial"/>
        </w:rPr>
        <w:t>.</w:t>
      </w:r>
    </w:p>
    <w:p w14:paraId="24643755" w14:textId="2E86C3EB" w:rsidR="00B70D2A" w:rsidRPr="0064020F" w:rsidRDefault="00B70D2A" w:rsidP="0064020F">
      <w:pPr>
        <w:rPr>
          <w:rFonts w:ascii="Arial" w:hAnsi="Arial"/>
          <w:sz w:val="22"/>
        </w:rPr>
      </w:pPr>
    </w:p>
    <w:sectPr w:rsidR="00B70D2A" w:rsidRPr="0064020F" w:rsidSect="008034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2DD222" w14:textId="77777777" w:rsidR="006405FE" w:rsidRDefault="006405FE" w:rsidP="0064020F">
      <w:r>
        <w:separator/>
      </w:r>
    </w:p>
  </w:endnote>
  <w:endnote w:type="continuationSeparator" w:id="0">
    <w:p w14:paraId="44A81198" w14:textId="77777777" w:rsidR="006405FE" w:rsidRDefault="006405FE" w:rsidP="00640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Corbel"/>
    <w:panose1 w:val="020B0503030403020204"/>
    <w:charset w:val="00"/>
    <w:family w:val="swiss"/>
    <w:notTrueType/>
    <w:pitch w:val="variable"/>
    <w:sig w:usb0="A00002AF" w:usb1="5000204B" w:usb2="00000000" w:usb3="00000000" w:csb0="0000019F" w:csb1="00000000"/>
  </w:font>
  <w:font w:name="Myriad Pro Cond">
    <w:panose1 w:val="020B0506030403020204"/>
    <w:charset w:val="00"/>
    <w:family w:val="swiss"/>
    <w:notTrueType/>
    <w:pitch w:val="variable"/>
    <w:sig w:usb0="A00002AF" w:usb1="500020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EFC72C" w14:textId="77777777" w:rsidR="006405FE" w:rsidRDefault="006405FE" w:rsidP="0064020F">
      <w:r>
        <w:separator/>
      </w:r>
    </w:p>
  </w:footnote>
  <w:footnote w:type="continuationSeparator" w:id="0">
    <w:p w14:paraId="1820D92F" w14:textId="77777777" w:rsidR="006405FE" w:rsidRDefault="006405FE" w:rsidP="0064020F">
      <w:r>
        <w:continuationSeparator/>
      </w:r>
    </w:p>
  </w:footnote>
  <w:footnote w:id="1">
    <w:p w14:paraId="29D5D706" w14:textId="77777777" w:rsidR="0064020F" w:rsidRPr="0064020F" w:rsidRDefault="0064020F" w:rsidP="0064020F">
      <w:pPr>
        <w:pStyle w:val="Textpoznmkypodiarou"/>
        <w:rPr>
          <w:rFonts w:ascii="Arial" w:hAnsi="Arial"/>
          <w:sz w:val="18"/>
          <w:szCs w:val="18"/>
        </w:rPr>
      </w:pPr>
      <w:r w:rsidRPr="0064020F">
        <w:rPr>
          <w:rStyle w:val="Odkaznapoznmkupodiarou"/>
          <w:rFonts w:ascii="Arial" w:hAnsi="Arial"/>
        </w:rPr>
        <w:footnoteRef/>
      </w:r>
      <w:r w:rsidRPr="0064020F">
        <w:rPr>
          <w:rFonts w:ascii="Arial" w:hAnsi="Arial"/>
        </w:rPr>
        <w:t xml:space="preserve"> </w:t>
      </w:r>
      <w:r w:rsidRPr="0064020F">
        <w:rPr>
          <w:rFonts w:ascii="Arial" w:hAnsi="Arial"/>
          <w:sz w:val="18"/>
          <w:szCs w:val="18"/>
        </w:rPr>
        <w:t xml:space="preserve">Hodnota podielu z CL1C pre zóny 100+101 má zodpovedať priemernej hodnote CL1C využívaného na území zón 100+101. Keďže pri zavádzaní III. etapy IDS BK bol zavedený nový typ cestovného lístka s platnosťou 2 zóny / 30 minút v hodnote 0,90 € a cena 3-zónového 60-min. CL1C bola stanovená na 1,20 €, žiadali zástupcovia DPB, </w:t>
      </w:r>
      <w:proofErr w:type="spellStart"/>
      <w:r w:rsidRPr="0064020F">
        <w:rPr>
          <w:rFonts w:ascii="Arial" w:hAnsi="Arial"/>
          <w:sz w:val="18"/>
          <w:szCs w:val="18"/>
        </w:rPr>
        <w:t>a.s</w:t>
      </w:r>
      <w:proofErr w:type="spellEnd"/>
      <w:r w:rsidRPr="0064020F">
        <w:rPr>
          <w:rFonts w:ascii="Arial" w:hAnsi="Arial"/>
          <w:sz w:val="18"/>
          <w:szCs w:val="18"/>
        </w:rPr>
        <w:t xml:space="preserve">., aby podiel z týchto lístkov pre zóny 100+101 bol na úrovni hodnoty 60 min. CL t. j. 1,20 €. V návrhu BID bolo stanoviť podiel 0,90€, čo bola hodnota nového 30 minútového cestovného lístka. Po dohode všetkých zúčastnených strán bol nakoniec stanovený podiel do zón 100+101 vo výške 1,00 €. </w:t>
      </w:r>
    </w:p>
    <w:p w14:paraId="0BA6C811" w14:textId="77777777" w:rsidR="0064020F" w:rsidRDefault="0064020F" w:rsidP="0064020F">
      <w:pPr>
        <w:pStyle w:val="Textpoznmkypodiarou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92DEA"/>
    <w:multiLevelType w:val="hybridMultilevel"/>
    <w:tmpl w:val="9AF67E3E"/>
    <w:lvl w:ilvl="0" w:tplc="B4D8478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34E49B4"/>
    <w:multiLevelType w:val="hybridMultilevel"/>
    <w:tmpl w:val="CB96F2CA"/>
    <w:lvl w:ilvl="0" w:tplc="E858163E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432A1A"/>
    <w:multiLevelType w:val="hybridMultilevel"/>
    <w:tmpl w:val="C560939E"/>
    <w:lvl w:ilvl="0" w:tplc="041B0015">
      <w:start w:val="1"/>
      <w:numFmt w:val="upperLetter"/>
      <w:lvlText w:val="%1."/>
      <w:lvlJc w:val="left"/>
      <w:pPr>
        <w:ind w:left="433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5050" w:hanging="360"/>
      </w:pPr>
    </w:lvl>
    <w:lvl w:ilvl="2" w:tplc="041B001B" w:tentative="1">
      <w:start w:val="1"/>
      <w:numFmt w:val="lowerRoman"/>
      <w:lvlText w:val="%3."/>
      <w:lvlJc w:val="right"/>
      <w:pPr>
        <w:ind w:left="5770" w:hanging="180"/>
      </w:pPr>
    </w:lvl>
    <w:lvl w:ilvl="3" w:tplc="041B000F" w:tentative="1">
      <w:start w:val="1"/>
      <w:numFmt w:val="decimal"/>
      <w:lvlText w:val="%4."/>
      <w:lvlJc w:val="left"/>
      <w:pPr>
        <w:ind w:left="6490" w:hanging="360"/>
      </w:pPr>
    </w:lvl>
    <w:lvl w:ilvl="4" w:tplc="041B0019" w:tentative="1">
      <w:start w:val="1"/>
      <w:numFmt w:val="lowerLetter"/>
      <w:lvlText w:val="%5."/>
      <w:lvlJc w:val="left"/>
      <w:pPr>
        <w:ind w:left="7210" w:hanging="360"/>
      </w:pPr>
    </w:lvl>
    <w:lvl w:ilvl="5" w:tplc="041B001B" w:tentative="1">
      <w:start w:val="1"/>
      <w:numFmt w:val="lowerRoman"/>
      <w:lvlText w:val="%6."/>
      <w:lvlJc w:val="right"/>
      <w:pPr>
        <w:ind w:left="7930" w:hanging="180"/>
      </w:pPr>
    </w:lvl>
    <w:lvl w:ilvl="6" w:tplc="041B000F" w:tentative="1">
      <w:start w:val="1"/>
      <w:numFmt w:val="decimal"/>
      <w:lvlText w:val="%7."/>
      <w:lvlJc w:val="left"/>
      <w:pPr>
        <w:ind w:left="8650" w:hanging="360"/>
      </w:pPr>
    </w:lvl>
    <w:lvl w:ilvl="7" w:tplc="041B0019" w:tentative="1">
      <w:start w:val="1"/>
      <w:numFmt w:val="lowerLetter"/>
      <w:lvlText w:val="%8."/>
      <w:lvlJc w:val="left"/>
      <w:pPr>
        <w:ind w:left="9370" w:hanging="360"/>
      </w:pPr>
    </w:lvl>
    <w:lvl w:ilvl="8" w:tplc="041B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3" w15:restartNumberingAfterBreak="0">
    <w:nsid w:val="18BF7C48"/>
    <w:multiLevelType w:val="hybridMultilevel"/>
    <w:tmpl w:val="D0606DFC"/>
    <w:lvl w:ilvl="0" w:tplc="41D4BE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27D1457"/>
    <w:multiLevelType w:val="hybridMultilevel"/>
    <w:tmpl w:val="FE40702C"/>
    <w:lvl w:ilvl="0" w:tplc="041B0017">
      <w:start w:val="1"/>
      <w:numFmt w:val="lowerLetter"/>
      <w:lvlText w:val="%1)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630D33DE"/>
    <w:multiLevelType w:val="hybridMultilevel"/>
    <w:tmpl w:val="176E4E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03788"/>
    <w:multiLevelType w:val="hybridMultilevel"/>
    <w:tmpl w:val="C4A69F8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4A7BF0"/>
    <w:multiLevelType w:val="hybridMultilevel"/>
    <w:tmpl w:val="1DAA4E4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EC4ED3"/>
    <w:multiLevelType w:val="hybridMultilevel"/>
    <w:tmpl w:val="761EF3A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720BB6"/>
    <w:multiLevelType w:val="hybridMultilevel"/>
    <w:tmpl w:val="1DAA4E4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6237B6"/>
    <w:multiLevelType w:val="multilevel"/>
    <w:tmpl w:val="2070DEF0"/>
    <w:lvl w:ilvl="0">
      <w:start w:val="1"/>
      <w:numFmt w:val="bullet"/>
      <w:pStyle w:val="Sodrkami"/>
      <w:lvlText w:val=""/>
      <w:lvlJc w:val="left"/>
      <w:pPr>
        <w:tabs>
          <w:tab w:val="num" w:pos="1418"/>
        </w:tabs>
        <w:ind w:left="1418" w:hanging="425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43"/>
        </w:tabs>
        <w:ind w:left="1843" w:hanging="425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1" w15:restartNumberingAfterBreak="0">
    <w:nsid w:val="7F217431"/>
    <w:multiLevelType w:val="hybridMultilevel"/>
    <w:tmpl w:val="AEB27A46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1"/>
  </w:num>
  <w:num w:numId="3">
    <w:abstractNumId w:val="2"/>
  </w:num>
  <w:num w:numId="4">
    <w:abstractNumId w:val="8"/>
  </w:num>
  <w:num w:numId="5">
    <w:abstractNumId w:val="9"/>
  </w:num>
  <w:num w:numId="6">
    <w:abstractNumId w:val="7"/>
  </w:num>
  <w:num w:numId="7">
    <w:abstractNumId w:val="5"/>
  </w:num>
  <w:num w:numId="8">
    <w:abstractNumId w:val="11"/>
  </w:num>
  <w:num w:numId="9">
    <w:abstractNumId w:val="0"/>
  </w:num>
  <w:num w:numId="10">
    <w:abstractNumId w:val="3"/>
  </w:num>
  <w:num w:numId="11">
    <w:abstractNumId w:val="4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78A"/>
    <w:rsid w:val="00035162"/>
    <w:rsid w:val="00036BF8"/>
    <w:rsid w:val="000416CB"/>
    <w:rsid w:val="0004604A"/>
    <w:rsid w:val="0006051A"/>
    <w:rsid w:val="000B2C69"/>
    <w:rsid w:val="000C3516"/>
    <w:rsid w:val="000E201B"/>
    <w:rsid w:val="001268B2"/>
    <w:rsid w:val="001638FD"/>
    <w:rsid w:val="00163DF3"/>
    <w:rsid w:val="00165D42"/>
    <w:rsid w:val="001661EC"/>
    <w:rsid w:val="001A5DC3"/>
    <w:rsid w:val="001B56C6"/>
    <w:rsid w:val="001B7CA6"/>
    <w:rsid w:val="001E5CC8"/>
    <w:rsid w:val="001F0979"/>
    <w:rsid w:val="00232519"/>
    <w:rsid w:val="00247B3D"/>
    <w:rsid w:val="00251C29"/>
    <w:rsid w:val="00266A16"/>
    <w:rsid w:val="00286311"/>
    <w:rsid w:val="00294CDC"/>
    <w:rsid w:val="002D7DC8"/>
    <w:rsid w:val="002E607C"/>
    <w:rsid w:val="002E75AA"/>
    <w:rsid w:val="003238FA"/>
    <w:rsid w:val="00360E63"/>
    <w:rsid w:val="00363479"/>
    <w:rsid w:val="00363DFD"/>
    <w:rsid w:val="00373B90"/>
    <w:rsid w:val="00396B4A"/>
    <w:rsid w:val="003C2E43"/>
    <w:rsid w:val="003C478A"/>
    <w:rsid w:val="003D5C86"/>
    <w:rsid w:val="003F2D65"/>
    <w:rsid w:val="003F4A9C"/>
    <w:rsid w:val="00413C8F"/>
    <w:rsid w:val="004170A6"/>
    <w:rsid w:val="00462210"/>
    <w:rsid w:val="00475315"/>
    <w:rsid w:val="00485FA1"/>
    <w:rsid w:val="0050702B"/>
    <w:rsid w:val="00537753"/>
    <w:rsid w:val="00546FF8"/>
    <w:rsid w:val="00594867"/>
    <w:rsid w:val="00606F66"/>
    <w:rsid w:val="006128BF"/>
    <w:rsid w:val="006130EE"/>
    <w:rsid w:val="0061529D"/>
    <w:rsid w:val="0064020F"/>
    <w:rsid w:val="006405FE"/>
    <w:rsid w:val="00646885"/>
    <w:rsid w:val="00647CF9"/>
    <w:rsid w:val="00667DA5"/>
    <w:rsid w:val="00672A1D"/>
    <w:rsid w:val="0067770E"/>
    <w:rsid w:val="006959F1"/>
    <w:rsid w:val="006A19AA"/>
    <w:rsid w:val="006B6D2A"/>
    <w:rsid w:val="006C7899"/>
    <w:rsid w:val="006F6BD0"/>
    <w:rsid w:val="006F704C"/>
    <w:rsid w:val="006F763E"/>
    <w:rsid w:val="00703343"/>
    <w:rsid w:val="0072581A"/>
    <w:rsid w:val="007573AC"/>
    <w:rsid w:val="00763E25"/>
    <w:rsid w:val="00770F6D"/>
    <w:rsid w:val="00773802"/>
    <w:rsid w:val="00773A73"/>
    <w:rsid w:val="00783ADB"/>
    <w:rsid w:val="00792960"/>
    <w:rsid w:val="00796B55"/>
    <w:rsid w:val="007B090D"/>
    <w:rsid w:val="007F5AD1"/>
    <w:rsid w:val="008034BF"/>
    <w:rsid w:val="00804A74"/>
    <w:rsid w:val="00826D24"/>
    <w:rsid w:val="00843EB0"/>
    <w:rsid w:val="008A29E2"/>
    <w:rsid w:val="008B5EF9"/>
    <w:rsid w:val="0090475A"/>
    <w:rsid w:val="00905420"/>
    <w:rsid w:val="00946CE3"/>
    <w:rsid w:val="009912A2"/>
    <w:rsid w:val="009E462D"/>
    <w:rsid w:val="009F7A0D"/>
    <w:rsid w:val="00A13572"/>
    <w:rsid w:val="00A208AC"/>
    <w:rsid w:val="00A339EB"/>
    <w:rsid w:val="00A94F7E"/>
    <w:rsid w:val="00B05754"/>
    <w:rsid w:val="00B16CF5"/>
    <w:rsid w:val="00B64417"/>
    <w:rsid w:val="00B70D2A"/>
    <w:rsid w:val="00B73D21"/>
    <w:rsid w:val="00B76543"/>
    <w:rsid w:val="00B80732"/>
    <w:rsid w:val="00B97216"/>
    <w:rsid w:val="00BF0C6D"/>
    <w:rsid w:val="00BF24BE"/>
    <w:rsid w:val="00C013C0"/>
    <w:rsid w:val="00C0368B"/>
    <w:rsid w:val="00C10C1E"/>
    <w:rsid w:val="00C25928"/>
    <w:rsid w:val="00C565D7"/>
    <w:rsid w:val="00C74D9E"/>
    <w:rsid w:val="00CA7CA9"/>
    <w:rsid w:val="00CB721E"/>
    <w:rsid w:val="00CC1FED"/>
    <w:rsid w:val="00CC5947"/>
    <w:rsid w:val="00CD4A54"/>
    <w:rsid w:val="00CE580A"/>
    <w:rsid w:val="00D04AAB"/>
    <w:rsid w:val="00D33A56"/>
    <w:rsid w:val="00D33BB2"/>
    <w:rsid w:val="00D35680"/>
    <w:rsid w:val="00D617F3"/>
    <w:rsid w:val="00D93B89"/>
    <w:rsid w:val="00DA3D21"/>
    <w:rsid w:val="00DB02A6"/>
    <w:rsid w:val="00DB3730"/>
    <w:rsid w:val="00DD2B78"/>
    <w:rsid w:val="00DF33FF"/>
    <w:rsid w:val="00DF7A61"/>
    <w:rsid w:val="00E0124C"/>
    <w:rsid w:val="00E05BF4"/>
    <w:rsid w:val="00E47E4F"/>
    <w:rsid w:val="00EA57F0"/>
    <w:rsid w:val="00EA78B0"/>
    <w:rsid w:val="00EB2A96"/>
    <w:rsid w:val="00EF0AEF"/>
    <w:rsid w:val="00F0405E"/>
    <w:rsid w:val="00F34A11"/>
    <w:rsid w:val="00F368EE"/>
    <w:rsid w:val="00F56751"/>
    <w:rsid w:val="00F709E9"/>
    <w:rsid w:val="00FB151B"/>
    <w:rsid w:val="00FB16E5"/>
    <w:rsid w:val="00FB4D93"/>
    <w:rsid w:val="00FD0143"/>
    <w:rsid w:val="00FE1179"/>
    <w:rsid w:val="00FE3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EE9EB"/>
  <w15:docId w15:val="{F5FBFE7B-FA32-453A-9EF6-50F9B8C25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C47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546FF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46FF8"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Sodrkami">
    <w:name w:val="S odrážkami"/>
    <w:basedOn w:val="Normlny"/>
    <w:rsid w:val="000C3516"/>
    <w:pPr>
      <w:numPr>
        <w:numId w:val="1"/>
      </w:numPr>
      <w:spacing w:after="200" w:line="276" w:lineRule="auto"/>
      <w:contextualSpacing/>
      <w:jc w:val="both"/>
    </w:pPr>
    <w:rPr>
      <w:rFonts w:ascii="Myriad Pro" w:eastAsia="Calibri" w:hAnsi="Myriad Pro"/>
      <w:szCs w:val="22"/>
      <w:lang w:eastAsia="en-US"/>
    </w:rPr>
  </w:style>
  <w:style w:type="paragraph" w:styleId="Odsekzoznamu">
    <w:name w:val="List Paragraph"/>
    <w:basedOn w:val="Normlny"/>
    <w:uiPriority w:val="34"/>
    <w:qFormat/>
    <w:rsid w:val="000C3516"/>
    <w:pPr>
      <w:spacing w:after="200" w:line="276" w:lineRule="auto"/>
      <w:ind w:left="720"/>
      <w:contextualSpacing/>
      <w:jc w:val="both"/>
    </w:pPr>
    <w:rPr>
      <w:rFonts w:ascii="Myriad Pro" w:eastAsia="Calibri" w:hAnsi="Myriad Pro" w:cs="Arial"/>
      <w:szCs w:val="22"/>
      <w:lang w:eastAsia="en-US"/>
    </w:rPr>
  </w:style>
  <w:style w:type="paragraph" w:customStyle="1" w:styleId="Default">
    <w:name w:val="Default"/>
    <w:rsid w:val="00373B90"/>
    <w:pPr>
      <w:autoSpaceDE w:val="0"/>
      <w:autoSpaceDN w:val="0"/>
      <w:adjustRightInd w:val="0"/>
      <w:spacing w:after="0" w:line="240" w:lineRule="auto"/>
    </w:pPr>
    <w:rPr>
      <w:rFonts w:ascii="Myriad Pro" w:eastAsia="Times New Roman" w:hAnsi="Myriad Pro" w:cs="Myriad Pro"/>
      <w:color w:val="000000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3D5C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2-ZkladnText">
    <w:name w:val="F2-ZákladnýText"/>
    <w:basedOn w:val="Normlny"/>
    <w:link w:val="F2-ZkladnTextChar"/>
    <w:uiPriority w:val="99"/>
    <w:rsid w:val="00286311"/>
    <w:pPr>
      <w:jc w:val="both"/>
    </w:pPr>
    <w:rPr>
      <w:szCs w:val="20"/>
    </w:rPr>
  </w:style>
  <w:style w:type="character" w:customStyle="1" w:styleId="F2-ZkladnTextChar">
    <w:name w:val="F2-ZákladnýText Char"/>
    <w:basedOn w:val="Predvolenpsmoodseku"/>
    <w:link w:val="F2-ZkladnText"/>
    <w:uiPriority w:val="99"/>
    <w:locked/>
    <w:rsid w:val="00286311"/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9912A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912A2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912A2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2A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2A2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64020F"/>
    <w:pPr>
      <w:jc w:val="both"/>
    </w:pPr>
    <w:rPr>
      <w:rFonts w:ascii="Myriad Pro" w:eastAsia="Calibri" w:hAnsi="Myriad Pro" w:cs="Arial"/>
      <w:sz w:val="20"/>
      <w:szCs w:val="20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64020F"/>
    <w:rPr>
      <w:rFonts w:ascii="Myriad Pro" w:eastAsia="Calibri" w:hAnsi="Myriad Pro" w:cs="Arial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64020F"/>
    <w:rPr>
      <w:vertAlign w:val="superscript"/>
    </w:rPr>
  </w:style>
  <w:style w:type="paragraph" w:customStyle="1" w:styleId="Tabuka-hlavika">
    <w:name w:val="Tabuľka - hlavička"/>
    <w:basedOn w:val="Normlny"/>
    <w:qFormat/>
    <w:rsid w:val="0064020F"/>
    <w:pPr>
      <w:widowControl w:val="0"/>
      <w:suppressLineNumbers/>
      <w:suppressAutoHyphens/>
      <w:jc w:val="center"/>
    </w:pPr>
    <w:rPr>
      <w:rFonts w:ascii="Myriad Pro Cond" w:eastAsia="Calibri" w:hAnsi="Myriad Pro Cond"/>
      <w:b/>
      <w:kern w:val="1"/>
    </w:rPr>
  </w:style>
  <w:style w:type="paragraph" w:customStyle="1" w:styleId="Tabuka-hodnotyL">
    <w:name w:val="Tabuľka - hodnoty L"/>
    <w:basedOn w:val="Normlny"/>
    <w:qFormat/>
    <w:rsid w:val="0064020F"/>
    <w:pPr>
      <w:widowControl w:val="0"/>
      <w:suppressLineNumbers/>
      <w:suppressAutoHyphens/>
    </w:pPr>
    <w:rPr>
      <w:rFonts w:ascii="Myriad Pro Cond" w:eastAsia="Calibri" w:hAnsi="Myriad Pro Cond"/>
      <w:kern w:val="1"/>
    </w:rPr>
  </w:style>
  <w:style w:type="paragraph" w:customStyle="1" w:styleId="Tabuka-hodnotyP">
    <w:name w:val="Tabuľka - hodnoty P"/>
    <w:basedOn w:val="Normlny"/>
    <w:qFormat/>
    <w:rsid w:val="0064020F"/>
    <w:pPr>
      <w:widowControl w:val="0"/>
      <w:suppressLineNumbers/>
      <w:suppressAutoHyphens/>
      <w:jc w:val="right"/>
    </w:pPr>
    <w:rPr>
      <w:rFonts w:ascii="Myriad Pro Cond" w:eastAsia="Calibri" w:hAnsi="Myriad Pro Cond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49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6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48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63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78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83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70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8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0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36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07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43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60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0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2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66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41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7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8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09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5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42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49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6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5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5</Pages>
  <Words>1312</Words>
  <Characters>7484</Characters>
  <Application>Microsoft Office Word</Application>
  <DocSecurity>0</DocSecurity>
  <Lines>62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8779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Zuzana Lovíšková</dc:creator>
  <cp:lastModifiedBy>MR</cp:lastModifiedBy>
  <cp:revision>14</cp:revision>
  <cp:lastPrinted>2017-03-16T10:10:00Z</cp:lastPrinted>
  <dcterms:created xsi:type="dcterms:W3CDTF">2016-10-11T10:34:00Z</dcterms:created>
  <dcterms:modified xsi:type="dcterms:W3CDTF">2017-03-16T10:12:00Z</dcterms:modified>
</cp:coreProperties>
</file>